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E50CC">
      <w:pPr>
        <w:spacing w:before="100" w:beforeAutospacing="1" w:after="100" w:afterAutospacing="1"/>
        <w:ind w:firstLine="2650" w:firstLineChars="600"/>
        <w:outlineLvl w:val="2"/>
        <w:rPr>
          <w:rFonts w:hint="eastAsia" w:ascii="仿宋" w:hAnsi="仿宋" w:eastAsia="仿宋" w:cs="仿宋"/>
          <w:b/>
          <w:kern w:val="0"/>
          <w:sz w:val="44"/>
          <w:szCs w:val="44"/>
        </w:rPr>
      </w:pPr>
      <w:r>
        <w:rPr>
          <w:rFonts w:hint="eastAsia" w:ascii="仿宋" w:hAnsi="仿宋" w:eastAsia="仿宋" w:cs="仿宋"/>
          <w:b/>
          <w:kern w:val="0"/>
          <w:sz w:val="44"/>
          <w:szCs w:val="44"/>
        </w:rPr>
        <w:t>房产租赁合同</w:t>
      </w:r>
    </w:p>
    <w:p w14:paraId="06BE50CD">
      <w:pPr>
        <w:spacing w:line="600" w:lineRule="atLeast"/>
        <w:rPr>
          <w:rFonts w:hint="eastAsia" w:ascii="仿宋" w:hAnsi="仿宋" w:eastAsia="仿宋" w:cs="仿宋"/>
          <w:color w:val="auto"/>
          <w:kern w:val="0"/>
          <w:sz w:val="28"/>
          <w:szCs w:val="28"/>
        </w:rPr>
      </w:pPr>
      <w:r>
        <w:rPr>
          <w:rFonts w:hint="eastAsia" w:ascii="仿宋" w:hAnsi="仿宋" w:eastAsia="仿宋" w:cs="仿宋"/>
          <w:color w:val="auto"/>
          <w:kern w:val="0"/>
          <w:sz w:val="32"/>
          <w:szCs w:val="32"/>
        </w:rPr>
        <w:t xml:space="preserve">                              </w:t>
      </w:r>
      <w:r>
        <w:rPr>
          <w:rFonts w:hint="eastAsia" w:ascii="仿宋" w:hAnsi="仿宋" w:eastAsia="仿宋" w:cs="仿宋"/>
          <w:bCs/>
          <w:color w:val="auto"/>
          <w:kern w:val="0"/>
          <w:sz w:val="28"/>
          <w:szCs w:val="28"/>
        </w:rPr>
        <w:t>合同编号：</w:t>
      </w:r>
      <w:r>
        <w:rPr>
          <w:rFonts w:hint="eastAsia" w:ascii="仿宋" w:hAnsi="仿宋" w:eastAsia="仿宋" w:cs="仿宋"/>
          <w:color w:val="auto"/>
          <w:kern w:val="0"/>
          <w:sz w:val="32"/>
          <w:szCs w:val="32"/>
        </w:rPr>
        <w:t xml:space="preserve">                          </w:t>
      </w:r>
    </w:p>
    <w:p w14:paraId="06BE50CE">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0"/>
          <w:szCs w:val="30"/>
        </w:rPr>
        <w:t>甲方（出租方）：</w:t>
      </w:r>
      <w:r>
        <w:rPr>
          <w:rFonts w:hint="eastAsia" w:asciiTheme="minorEastAsia" w:hAnsiTheme="minorEastAsia" w:eastAsiaTheme="minorEastAsia" w:cstheme="minorEastAsia"/>
          <w:color w:val="auto"/>
          <w:sz w:val="28"/>
          <w:szCs w:val="28"/>
          <w:u w:val="single"/>
        </w:rPr>
        <w:t xml:space="preserve">                           </w:t>
      </w:r>
      <w:r>
        <w:rPr>
          <w:rFonts w:hint="eastAsia" w:ascii="仿宋" w:hAnsi="仿宋" w:eastAsia="仿宋" w:cs="仿宋"/>
          <w:color w:val="auto"/>
          <w:kern w:val="0"/>
          <w:sz w:val="32"/>
          <w:szCs w:val="32"/>
          <w:u w:val="single"/>
        </w:rPr>
        <w:t xml:space="preserve">        </w:t>
      </w:r>
    </w:p>
    <w:p w14:paraId="06BE50CF">
      <w:pPr>
        <w:spacing w:line="600" w:lineRule="atLeas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乙方（承租方）：</w:t>
      </w:r>
      <w:r>
        <w:rPr>
          <w:rFonts w:hint="eastAsia" w:ascii="仿宋" w:hAnsi="仿宋" w:eastAsia="仿宋" w:cs="仿宋"/>
          <w:color w:val="auto"/>
          <w:kern w:val="0"/>
          <w:sz w:val="30"/>
          <w:szCs w:val="30"/>
          <w:u w:val="single"/>
        </w:rPr>
        <w:t xml:space="preserve">                                 </w:t>
      </w:r>
    </w:p>
    <w:p w14:paraId="06BE50D0">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第一条 租赁标的物座落、面积</w:t>
      </w:r>
    </w:p>
    <w:p w14:paraId="06BE50D1">
      <w:pPr>
        <w:spacing w:line="560" w:lineRule="exact"/>
        <w:ind w:firstLine="570"/>
        <w:jc w:val="left"/>
        <w:rPr>
          <w:rFonts w:ascii="仿宋_GB2312" w:eastAsia="仿宋_GB2312"/>
          <w:color w:val="auto"/>
          <w:kern w:val="0"/>
          <w:sz w:val="32"/>
          <w:szCs w:val="32"/>
        </w:rPr>
      </w:pPr>
      <w:r>
        <w:rPr>
          <w:rFonts w:hint="eastAsia" w:ascii="仿宋_GB2312" w:eastAsia="仿宋_GB2312"/>
          <w:color w:val="auto"/>
          <w:kern w:val="0"/>
          <w:sz w:val="32"/>
          <w:szCs w:val="32"/>
        </w:rPr>
        <w:t>甲方将拥有的位于</w:t>
      </w:r>
      <w:r>
        <w:rPr>
          <w:rFonts w:hint="eastAsia" w:ascii="仿宋_GB2312" w:eastAsia="仿宋_GB2312"/>
          <w:color w:val="auto"/>
          <w:kern w:val="0"/>
          <w:sz w:val="32"/>
          <w:szCs w:val="32"/>
          <w:u w:val="single"/>
        </w:rPr>
        <w:t xml:space="preserve">                        </w:t>
      </w:r>
      <w:r>
        <w:rPr>
          <w:rFonts w:hint="eastAsia" w:ascii="仿宋_GB2312" w:eastAsia="仿宋_GB2312"/>
          <w:color w:val="auto"/>
          <w:kern w:val="0"/>
          <w:sz w:val="32"/>
          <w:szCs w:val="32"/>
        </w:rPr>
        <w:t>，建筑面积</w:t>
      </w:r>
      <w:r>
        <w:rPr>
          <w:rFonts w:hint="eastAsia" w:ascii="仿宋_GB2312" w:eastAsia="仿宋_GB2312"/>
          <w:color w:val="auto"/>
          <w:kern w:val="0"/>
          <w:sz w:val="32"/>
          <w:szCs w:val="32"/>
          <w:u w:val="single"/>
        </w:rPr>
        <w:t xml:space="preserve">     </w:t>
      </w:r>
      <w:r>
        <w:rPr>
          <w:rFonts w:hint="eastAsia" w:ascii="仿宋_GB2312" w:eastAsia="仿宋_GB2312"/>
          <w:color w:val="auto"/>
          <w:kern w:val="0"/>
          <w:sz w:val="32"/>
          <w:szCs w:val="32"/>
        </w:rPr>
        <w:t>房屋出租给乙方使用。水电齐全，乙方已经充分了解标的物的情况,确认标的物符合其开展经营活动的要求。附房屋平面图（或产权证书复印件）</w:t>
      </w:r>
    </w:p>
    <w:p w14:paraId="06BE50D2">
      <w:pPr>
        <w:spacing w:line="560" w:lineRule="exact"/>
        <w:ind w:firstLine="643" w:firstLineChars="200"/>
        <w:rPr>
          <w:rFonts w:hint="eastAsia" w:ascii="仿宋" w:hAnsi="仿宋" w:eastAsia="仿宋" w:cs="仿宋"/>
          <w:b/>
          <w:color w:val="auto"/>
          <w:kern w:val="0"/>
          <w:sz w:val="32"/>
          <w:szCs w:val="32"/>
          <w:lang w:eastAsia="zh-Hans"/>
        </w:rPr>
      </w:pPr>
      <w:r>
        <w:rPr>
          <w:rFonts w:hint="eastAsia" w:ascii="仿宋" w:hAnsi="仿宋" w:eastAsia="仿宋" w:cs="仿宋"/>
          <w:b/>
          <w:color w:val="auto"/>
          <w:kern w:val="0"/>
          <w:sz w:val="32"/>
          <w:szCs w:val="32"/>
          <w:lang w:eastAsia="zh-Hans"/>
        </w:rPr>
        <w:t>第二</w:t>
      </w:r>
      <w:r>
        <w:rPr>
          <w:rFonts w:hint="eastAsia" w:ascii="仿宋" w:hAnsi="仿宋" w:eastAsia="仿宋" w:cs="仿宋"/>
          <w:b/>
          <w:color w:val="auto"/>
          <w:kern w:val="0"/>
          <w:sz w:val="32"/>
          <w:szCs w:val="32"/>
        </w:rPr>
        <w:t xml:space="preserve">条 </w:t>
      </w:r>
      <w:r>
        <w:rPr>
          <w:rFonts w:hint="eastAsia" w:ascii="仿宋" w:hAnsi="仿宋" w:eastAsia="仿宋" w:cs="仿宋"/>
          <w:b/>
          <w:color w:val="auto"/>
          <w:kern w:val="0"/>
          <w:sz w:val="32"/>
          <w:szCs w:val="32"/>
          <w:lang w:eastAsia="zh-Hans"/>
        </w:rPr>
        <w:t>租赁用途</w:t>
      </w:r>
    </w:p>
    <w:p w14:paraId="06BE50D3">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Hans"/>
        </w:rPr>
        <w:t>乙方向甲方承诺，租赁该房屋仅作为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eastAsia="zh-Hans"/>
        </w:rPr>
        <w:t>使用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未事前征得甲方的书面同意，乙方不得擅自改变该房屋使用用途。否则，所产生的</w:t>
      </w:r>
      <w:r>
        <w:rPr>
          <w:rFonts w:hint="eastAsia" w:ascii="仿宋" w:hAnsi="仿宋" w:eastAsia="仿宋" w:cs="仿宋"/>
          <w:color w:val="auto"/>
          <w:kern w:val="0"/>
          <w:sz w:val="32"/>
          <w:szCs w:val="32"/>
        </w:rPr>
        <w:t>直接和间接经济损失全部</w:t>
      </w:r>
      <w:r>
        <w:rPr>
          <w:rFonts w:hint="eastAsia" w:ascii="仿宋" w:hAnsi="仿宋" w:eastAsia="仿宋" w:cs="仿宋"/>
          <w:color w:val="auto"/>
          <w:kern w:val="0"/>
          <w:sz w:val="32"/>
          <w:szCs w:val="32"/>
          <w:lang w:eastAsia="zh-Hans"/>
        </w:rPr>
        <w:t>由乙方自行承担。</w:t>
      </w:r>
    </w:p>
    <w:p w14:paraId="06BE50D4">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w:t>
      </w:r>
      <w:r>
        <w:rPr>
          <w:rFonts w:hint="eastAsia" w:ascii="仿宋" w:hAnsi="仿宋" w:eastAsia="仿宋" w:cs="仿宋"/>
          <w:color w:val="auto"/>
          <w:kern w:val="0"/>
          <w:sz w:val="32"/>
          <w:szCs w:val="32"/>
          <w:lang w:eastAsia="zh-Hans"/>
        </w:rPr>
        <w:t>租赁该房屋承诺</w:t>
      </w:r>
      <w:r>
        <w:rPr>
          <w:rFonts w:hint="eastAsia" w:ascii="仿宋" w:hAnsi="仿宋" w:eastAsia="仿宋" w:cs="仿宋"/>
          <w:color w:val="auto"/>
          <w:kern w:val="0"/>
          <w:sz w:val="32"/>
          <w:szCs w:val="32"/>
        </w:rPr>
        <w:t>用途必须是在签署租赁协议时</w:t>
      </w:r>
      <w:r>
        <w:rPr>
          <w:rFonts w:hint="eastAsia" w:ascii="仿宋" w:hAnsi="仿宋" w:eastAsia="仿宋" w:cs="仿宋"/>
          <w:color w:val="auto"/>
          <w:kern w:val="0"/>
          <w:sz w:val="32"/>
          <w:szCs w:val="32"/>
          <w:lang w:eastAsia="zh-Hans"/>
        </w:rPr>
        <w:t>其营业执照所规定的经营范围内</w:t>
      </w:r>
      <w:r>
        <w:rPr>
          <w:rFonts w:hint="eastAsia" w:ascii="仿宋" w:hAnsi="仿宋" w:eastAsia="仿宋" w:cs="仿宋"/>
          <w:color w:val="auto"/>
          <w:kern w:val="0"/>
          <w:sz w:val="32"/>
          <w:szCs w:val="32"/>
        </w:rPr>
        <w:t>，且不得用于违法经营。</w:t>
      </w:r>
    </w:p>
    <w:p w14:paraId="06BE50D5">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3、本租赁物采取包租的方式，消防、生产、设施、设备、安全、环保等由乙方按相关法律规定自行解决、自行管理并自行承担因此引发的全部直接和间接经济损失及责任。</w:t>
      </w:r>
    </w:p>
    <w:p w14:paraId="06BE50D6">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第三条 租赁期限和续租</w:t>
      </w:r>
    </w:p>
    <w:p w14:paraId="06BE50D7">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1、租赁期为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日起至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日止。</w:t>
      </w:r>
    </w:p>
    <w:p w14:paraId="06BE50D8">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2、乙方有意在租赁期满后续租的，应提前30日书面通知甲方，甲方应在租赁期满前对是否同意续租进行书面答复。甲方同意续租的，双方商谈后重新签订租赁合同。</w:t>
      </w:r>
    </w:p>
    <w:p w14:paraId="06BE50D9">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第四条租金、履约保证金标准及其支付方式</w:t>
      </w:r>
    </w:p>
    <w:p w14:paraId="06BE50DA">
      <w:pPr>
        <w:widowControl/>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1、约定年租金为人民币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），本期租金为人民币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），租金合同签订之日一次性交清。</w:t>
      </w:r>
    </w:p>
    <w:p w14:paraId="06BE50DB">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2、履约保证金为人民币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）。本合同到期后如果乙方无违约，甲方无息返还其保证金，若乙方对甲方资产造成损失或有其他违约情形的，甲方有权从保证金中直接扣除。</w:t>
      </w:r>
    </w:p>
    <w:p w14:paraId="06BE50DC">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3、本合同自签订之日，乙方应将其租金和保证金同时交付给甲方。否则甲方有权单方面解除合同。</w:t>
      </w:r>
    </w:p>
    <w:p w14:paraId="06BE50DD">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4、本合同若为续租合同，则乙方在上一租赁期间缴纳的履约保证金人民币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 ，自动结转承续，甲方不再重新收取。</w:t>
      </w:r>
    </w:p>
    <w:p w14:paraId="06BE50DE">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第五条其他费用</w:t>
      </w:r>
    </w:p>
    <w:p w14:paraId="06BE50DF">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z w:val="32"/>
          <w:szCs w:val="32"/>
        </w:rPr>
        <w:t>承租期内，乙方的水电费用按甲方对外租赁水电费收取标准支付给甲方，若遇供水供电部门价格调整，按同等比例调整。</w:t>
      </w:r>
    </w:p>
    <w:p w14:paraId="06BE50E0">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Hans"/>
        </w:rPr>
        <w:t>乙方在租赁期限内</w:t>
      </w:r>
      <w:r>
        <w:rPr>
          <w:rFonts w:hint="eastAsia" w:ascii="仿宋" w:hAnsi="仿宋" w:eastAsia="仿宋" w:cs="仿宋"/>
          <w:color w:val="auto"/>
          <w:kern w:val="0"/>
          <w:sz w:val="32"/>
          <w:szCs w:val="32"/>
        </w:rPr>
        <w:t>产生的其他费用包括但不限于煤气费、</w:t>
      </w:r>
      <w:r>
        <w:rPr>
          <w:rFonts w:hint="eastAsia" w:ascii="仿宋" w:hAnsi="仿宋" w:eastAsia="仿宋" w:cs="仿宋"/>
          <w:color w:val="auto"/>
          <w:kern w:val="0"/>
          <w:sz w:val="32"/>
          <w:szCs w:val="32"/>
          <w:lang w:eastAsia="zh-Hans"/>
        </w:rPr>
        <w:t>电话</w:t>
      </w:r>
      <w:r>
        <w:rPr>
          <w:rFonts w:hint="eastAsia" w:ascii="仿宋" w:hAnsi="仿宋" w:eastAsia="仿宋" w:cs="仿宋"/>
          <w:color w:val="auto"/>
          <w:kern w:val="0"/>
          <w:sz w:val="32"/>
          <w:szCs w:val="32"/>
        </w:rPr>
        <w:t>费、</w:t>
      </w:r>
      <w:r>
        <w:rPr>
          <w:rFonts w:hint="eastAsia" w:ascii="仿宋" w:hAnsi="仿宋" w:eastAsia="仿宋" w:cs="仿宋"/>
          <w:color w:val="auto"/>
          <w:kern w:val="0"/>
          <w:sz w:val="32"/>
          <w:szCs w:val="32"/>
          <w:lang w:eastAsia="zh-Hans"/>
        </w:rPr>
        <w:t>网络使用费</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物业管理费</w:t>
      </w:r>
      <w:r>
        <w:rPr>
          <w:rFonts w:hint="eastAsia" w:ascii="仿宋" w:hAnsi="仿宋" w:eastAsia="仿宋" w:cs="仿宋"/>
          <w:color w:val="auto"/>
          <w:kern w:val="0"/>
          <w:sz w:val="32"/>
          <w:szCs w:val="32"/>
        </w:rPr>
        <w:t>、装修押金等</w:t>
      </w:r>
      <w:r>
        <w:rPr>
          <w:rFonts w:hint="eastAsia" w:ascii="仿宋" w:hAnsi="仿宋" w:eastAsia="仿宋" w:cs="仿宋"/>
          <w:color w:val="auto"/>
          <w:kern w:val="0"/>
          <w:sz w:val="32"/>
          <w:szCs w:val="32"/>
          <w:lang w:eastAsia="zh-Hans"/>
        </w:rPr>
        <w:t>由乙方自行承担</w:t>
      </w:r>
      <w:r>
        <w:rPr>
          <w:rFonts w:hint="eastAsia" w:ascii="仿宋" w:hAnsi="仿宋" w:eastAsia="仿宋" w:cs="仿宋"/>
          <w:color w:val="auto"/>
          <w:kern w:val="0"/>
          <w:sz w:val="32"/>
          <w:szCs w:val="32"/>
        </w:rPr>
        <w:t>并依照规定按时足额缴纳，拖欠该费用所产生的直接和间接经济损失及后果全部由乙方承担</w:t>
      </w:r>
      <w:r>
        <w:rPr>
          <w:rFonts w:hint="eastAsia" w:ascii="仿宋" w:hAnsi="仿宋" w:eastAsia="仿宋" w:cs="仿宋"/>
          <w:color w:val="auto"/>
          <w:kern w:val="0"/>
          <w:sz w:val="32"/>
          <w:szCs w:val="32"/>
          <w:lang w:eastAsia="zh-Hans"/>
        </w:rPr>
        <w:t>。</w:t>
      </w:r>
    </w:p>
    <w:p w14:paraId="06BE50E1">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3、在租赁期间内，如果发生政府有关部门收取本合同未列出但与使用该房屋有关的费用，均由乙方承担。</w:t>
      </w:r>
    </w:p>
    <w:p w14:paraId="06BE50E2">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第六条 租赁标的物使用要求和维修责任</w:t>
      </w:r>
    </w:p>
    <w:p w14:paraId="06BE50E3">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乙方承租该房屋后只能按照本合同约定的用途使用，不得另作他用；在使用过程中应爱惜房屋及各种设施，因乙方原因造成房屋或设施损坏的由乙方承担全部责任，乙方应立即修复并赔偿由此给甲方造成的各种损失。</w:t>
      </w:r>
    </w:p>
    <w:p w14:paraId="06BE50E4">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承租期内乙方需要对租赁标的物进行装修的，须征得甲方书面同意，且装修不得造成房屋主体架构的破坏。由于乙方装修造成房屋结构及其附属设备、设施损坏的，由乙方承担责任并赔偿全部损失。如果由于乙方装修造成房屋结构及其附属设备、设施损坏，以及因装修所产生的各种处罚、引起的纠纷、索赔或法律诉讼等后果均由乙方承担。</w:t>
      </w:r>
    </w:p>
    <w:p w14:paraId="06BE50E5">
      <w:pPr>
        <w:spacing w:line="560" w:lineRule="exact"/>
        <w:ind w:firstLine="640" w:firstLineChars="200"/>
        <w:jc w:val="left"/>
        <w:rPr>
          <w:rFonts w:hint="eastAsia" w:ascii="仿宋_GB2312" w:hAnsi="宋体" w:eastAsia="仿宋_GB2312"/>
          <w:b/>
          <w:color w:val="auto"/>
          <w:sz w:val="32"/>
          <w:szCs w:val="32"/>
          <w:u w:val="single"/>
        </w:rPr>
      </w:pPr>
      <w:r>
        <w:rPr>
          <w:rFonts w:hint="eastAsia" w:ascii="仿宋_GB2312" w:eastAsia="仿宋_GB2312"/>
          <w:color w:val="auto"/>
          <w:kern w:val="0"/>
          <w:sz w:val="32"/>
          <w:szCs w:val="32"/>
        </w:rPr>
        <w:t>3、</w:t>
      </w:r>
      <w:r>
        <w:rPr>
          <w:rFonts w:hint="eastAsia" w:ascii="仿宋_GB2312" w:eastAsia="仿宋_GB2312"/>
          <w:b/>
          <w:color w:val="auto"/>
          <w:kern w:val="0"/>
          <w:sz w:val="32"/>
          <w:szCs w:val="32"/>
          <w:u w:val="single"/>
        </w:rPr>
        <w:t>乙方对承租房屋进行装修时所产生的一切费用由乙方自行承担。无论任何原因，造成</w:t>
      </w:r>
      <w:r>
        <w:rPr>
          <w:rFonts w:hint="eastAsia" w:ascii="仿宋_GB2312" w:hAnsi="宋体" w:eastAsia="仿宋_GB2312"/>
          <w:b/>
          <w:color w:val="auto"/>
          <w:sz w:val="32"/>
          <w:szCs w:val="32"/>
          <w:u w:val="single"/>
        </w:rPr>
        <w:t>合同提前终止(中止)或解除租赁关系，甲方不作任何补偿，也不得要求其他第三方进行补偿。</w:t>
      </w:r>
    </w:p>
    <w:p w14:paraId="06BE50E6">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4、承租期内标的物及其各种设施的维护、维修由乙方负责并承担相关费用。</w:t>
      </w:r>
    </w:p>
    <w:p w14:paraId="06BE50E7">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第七条 甲方的权利和义务</w:t>
      </w:r>
    </w:p>
    <w:p w14:paraId="06BE50E8">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1、甲方应保证所出租的房产为其所有，并无产权及使用权的纠纷，如发生产权及使用权的纠纷，如果给乙方造成损失的，由甲方承担。</w:t>
      </w:r>
    </w:p>
    <w:p w14:paraId="06BE50E9">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w:t>
      </w:r>
      <w:r>
        <w:rPr>
          <w:rFonts w:hint="eastAsia" w:ascii="仿宋_GB2312" w:hAnsi="宋体" w:eastAsia="仿宋_GB2312"/>
          <w:color w:val="auto"/>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14:paraId="06BE50EA">
      <w:pPr>
        <w:spacing w:line="560" w:lineRule="exact"/>
        <w:ind w:firstLine="640" w:firstLineChars="200"/>
        <w:rPr>
          <w:rFonts w:ascii="仿宋_GB2312" w:eastAsia="仿宋_GB2312"/>
          <w:color w:val="auto"/>
          <w:kern w:val="0"/>
          <w:sz w:val="32"/>
          <w:szCs w:val="32"/>
        </w:rPr>
      </w:pPr>
      <w:r>
        <w:rPr>
          <w:rFonts w:hint="eastAsia" w:ascii="仿宋_GB2312" w:hAnsi="宋体" w:eastAsia="仿宋_GB2312"/>
          <w:color w:val="auto"/>
          <w:sz w:val="32"/>
          <w:szCs w:val="32"/>
        </w:rPr>
        <w:t>3、</w:t>
      </w:r>
      <w:r>
        <w:rPr>
          <w:rFonts w:hint="eastAsia" w:ascii="仿宋_GB2312" w:eastAsia="仿宋_GB2312"/>
          <w:color w:val="auto"/>
          <w:kern w:val="0"/>
          <w:sz w:val="32"/>
          <w:szCs w:val="32"/>
        </w:rPr>
        <w:t>甲方按约定向乙方收取租金、履约保证金及水电费。</w:t>
      </w:r>
    </w:p>
    <w:p w14:paraId="06BE50EB">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4、甲方有权在合同履行期间对乙方的安全管理进行监督检查并提出书面整改意见，乙方拒不整改的，甲方有权单方面解除合同。</w:t>
      </w:r>
    </w:p>
    <w:p w14:paraId="06BE50EC">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第八条 乙方的权利和义务</w:t>
      </w:r>
    </w:p>
    <w:p w14:paraId="06BE50ED">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1、根据甲方认可的营业执照载明的营业范围进行合法经营活动。承租期内，擅自撤出租赁房屋，其已缴纳的租金和保证金，甲方不予退还。擅自撤出逾期三十日的，甲方有权终止合同。</w:t>
      </w:r>
    </w:p>
    <w:p w14:paraId="06BE50EE">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2、乙方按约定向甲方缴纳租金、履约保证金及水电费。</w:t>
      </w:r>
    </w:p>
    <w:p w14:paraId="06BE50EF">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3、承担使用该房屋有关的其他费用。</w:t>
      </w:r>
    </w:p>
    <w:p w14:paraId="06BE50F0">
      <w:pPr>
        <w:spacing w:line="560" w:lineRule="exact"/>
        <w:ind w:firstLine="640" w:firstLineChars="200"/>
        <w:jc w:val="left"/>
        <w:rPr>
          <w:rFonts w:hint="eastAsia" w:ascii="仿宋_GB2312" w:hAnsi="宋体" w:eastAsia="仿宋_GB2312"/>
          <w:b/>
          <w:color w:val="auto"/>
          <w:sz w:val="32"/>
          <w:szCs w:val="32"/>
          <w:u w:val="single"/>
        </w:rPr>
      </w:pPr>
      <w:r>
        <w:rPr>
          <w:rFonts w:hint="eastAsia" w:ascii="仿宋_GB2312" w:hAnsi="宋体" w:eastAsia="仿宋_GB2312"/>
          <w:color w:val="auto"/>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color w:val="auto"/>
          <w:sz w:val="32"/>
          <w:szCs w:val="32"/>
          <w:u w:val="single"/>
        </w:rPr>
        <w:t>逾期不搬，甲方有权处置其资产，并不作任何经济补偿。</w:t>
      </w:r>
    </w:p>
    <w:p w14:paraId="06BE50F1">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5、乙方对所租赁房屋无权转租，否则甲方有权单方面终止合同。</w:t>
      </w:r>
    </w:p>
    <w:p w14:paraId="06BE50F2">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6、乙方不得擅自改变或改良房屋的水电路线及房屋结构，若需改变或改良需经甲方书面同意，否则乙方不得施工。</w:t>
      </w:r>
    </w:p>
    <w:p w14:paraId="06BE50F3">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7、在租赁期限内，非甲方原因（含乙方原因或者任何第三人故意过失或意外事件）造成的乙方本人、乙方员工、访客及其消费者财产或人身受到任何损害时，乙方自行解决由此而引发的纠纷，并自行承担由此而导致的损害赔偿后果，与甲方无关，如甲方因此承担任何责任的，有权向乙方追偿。</w:t>
      </w:r>
    </w:p>
    <w:p w14:paraId="06BE50F4">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第九条 合同的变更</w:t>
      </w:r>
    </w:p>
    <w:p w14:paraId="06BE50F5">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对本合同内容做出的任何修改和补充应为书面形式 ,由双方签字后成为本合同不可分割的组成部分。</w:t>
      </w:r>
    </w:p>
    <w:p w14:paraId="06BE50F6">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第十条 合同的解除</w:t>
      </w:r>
    </w:p>
    <w:p w14:paraId="06BE50F7">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1、经甲乙双方协商一致 ,可以解除本合同。</w:t>
      </w:r>
    </w:p>
    <w:p w14:paraId="06BE50F8">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2、甲方有下列情形之一的，乙方有权单方解除合同：</w:t>
      </w:r>
    </w:p>
    <w:p w14:paraId="06BE50F9">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2.1 未按约定时间交付该房屋达30日的。</w:t>
      </w:r>
    </w:p>
    <w:p w14:paraId="06BE50FA">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2.2 交付的房屋不符合合同约定严重影响乙方使用的。</w:t>
      </w:r>
    </w:p>
    <w:p w14:paraId="06BE50FB">
      <w:pPr>
        <w:spacing w:line="560" w:lineRule="exact"/>
        <w:ind w:firstLine="540"/>
        <w:jc w:val="left"/>
        <w:rPr>
          <w:rFonts w:ascii="仿宋_GB2312" w:eastAsia="仿宋_GB2312"/>
          <w:color w:val="auto"/>
          <w:kern w:val="0"/>
          <w:sz w:val="32"/>
          <w:szCs w:val="32"/>
        </w:rPr>
      </w:pPr>
      <w:r>
        <w:rPr>
          <w:rFonts w:hint="eastAsia" w:ascii="仿宋_GB2312" w:hAnsi="宋体" w:eastAsia="仿宋_GB2312"/>
          <w:color w:val="auto"/>
          <w:sz w:val="32"/>
          <w:szCs w:val="32"/>
        </w:rPr>
        <w:t>3、乙方有下列情形之一的，甲方有权单方面解除合同，乙方应按本合同约定的租金总额的20%向甲方支付违约金：</w:t>
      </w:r>
    </w:p>
    <w:p w14:paraId="06BE50FC">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3.1不具有合法经营资格的，包括因违法经营被行政管理部门吊销、收回营业执照的。</w:t>
      </w:r>
    </w:p>
    <w:p w14:paraId="06BE50FD">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3.2未按本合同约定的用途使用租赁房屋的。</w:t>
      </w:r>
    </w:p>
    <w:p w14:paraId="06BE50FE">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3.3逾期支付，在甲方给予宽限的期限内仍不支付租金的。</w:t>
      </w:r>
    </w:p>
    <w:p w14:paraId="06BE50FF">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3.4违反甲方依法制定的规章制度情节严重且拒不接受甲方监督的。</w:t>
      </w:r>
    </w:p>
    <w:p w14:paraId="06BE5100">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3.5向甲方提供虚假营业执照等证照，并经查实的。</w:t>
      </w:r>
    </w:p>
    <w:p w14:paraId="06BE5101">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3.6拒不接受甲方安全生产管理及整改要求。</w:t>
      </w:r>
    </w:p>
    <w:p w14:paraId="06BE5102">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4、租赁期满，本合同自然终止</w:t>
      </w:r>
      <w:r>
        <w:rPr>
          <w:rFonts w:hint="eastAsia" w:ascii="仿宋_GB2312" w:eastAsia="仿宋_GB2312"/>
          <w:color w:val="auto"/>
          <w:kern w:val="0"/>
          <w:sz w:val="32"/>
          <w:szCs w:val="32"/>
        </w:rPr>
        <w:t>。</w:t>
      </w:r>
    </w:p>
    <w:p w14:paraId="06BE5103">
      <w:pPr>
        <w:spacing w:line="560" w:lineRule="exact"/>
        <w:ind w:firstLine="630" w:firstLineChars="196"/>
        <w:jc w:val="left"/>
        <w:rPr>
          <w:rFonts w:hint="eastAsia" w:ascii="仿宋_GB2312" w:hAnsi="宋体" w:eastAsia="仿宋_GB2312"/>
          <w:b/>
          <w:color w:val="auto"/>
          <w:sz w:val="32"/>
          <w:szCs w:val="32"/>
        </w:rPr>
      </w:pPr>
      <w:r>
        <w:rPr>
          <w:rFonts w:hint="eastAsia" w:ascii="仿宋_GB2312" w:hAnsi="宋体" w:eastAsia="仿宋_GB2312"/>
          <w:b/>
          <w:color w:val="auto"/>
          <w:sz w:val="32"/>
          <w:szCs w:val="32"/>
        </w:rPr>
        <w:t>第十一条 免责条款</w:t>
      </w:r>
    </w:p>
    <w:p w14:paraId="06BE5104">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1、因战争、自然灾害等不可抗力的原因，致使租赁标的物不适于使用或租用，使本合同不能履行时，本合同自行解除，双方互不承担违约责任。</w:t>
      </w:r>
    </w:p>
    <w:p w14:paraId="06BE5105">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2、因政府规划、环境污染治理等社会公共利益的需要、市工业投资集团公司规划用地等致使本合同无法履行时，双方互不承担违约责任。</w:t>
      </w:r>
    </w:p>
    <w:p w14:paraId="06BE5106">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3、因上述原因而解除合同的，租金按照实际使用时间计算，不足整月的按月计算，多退少补。</w:t>
      </w:r>
    </w:p>
    <w:p w14:paraId="06BE5107">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第十二条 房屋的交还</w:t>
      </w:r>
    </w:p>
    <w:p w14:paraId="06BE5108">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1、租赁期届满或提前解除租赁协议的情况下，租赁房屋的交还按以下约定执行：</w:t>
      </w:r>
    </w:p>
    <w:p w14:paraId="06BE5109">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14:paraId="06BE510A">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14:paraId="06BE510B">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无论租赁期满还是提前解除租赁协议，在交还房屋时，乙方购置的固定在房屋墙面、地面、顶棚上的各种设备、设施及装修不得拆除，其产权无偿划转给甲方。乙方应搬走属于自己的可移动物品，完成房屋的保洁。否则，甲方有权自行处理承租房屋内的留置物品，并由乙方承担由此产生的费用。</w:t>
      </w:r>
    </w:p>
    <w:p w14:paraId="06BE510C">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3、租赁期满且甲乙双方没有续签租赁合同或因乙方违反本合同有关约定而解除合同的，乙方须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14:paraId="06BE510D">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第十三条 违约责任</w:t>
      </w:r>
    </w:p>
    <w:p w14:paraId="06BE510E">
      <w:pPr>
        <w:pStyle w:val="2"/>
        <w:ind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1、租赁期内,甲方如因主观原因需提前收回该房屋的,应提前30日书面通知乙方 ,将已收取的租金余额退还乙方。</w:t>
      </w:r>
    </w:p>
    <w:p w14:paraId="06BE510F">
      <w:pPr>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2、乙方擅自对该房屋进行装修、装饰或添置新物的,甲方可以要求乙方恢复原状或者赔偿损失。</w:t>
      </w:r>
    </w:p>
    <w:p w14:paraId="06BE5110">
      <w:pPr>
        <w:pStyle w:val="2"/>
        <w:ind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3、租赁期内,乙方需提前退租的 ,应提前 30日书面通知甲方,甲方无需退还剩余租金并由乙方按年租金的20%支付违约金。</w:t>
      </w:r>
    </w:p>
    <w:p w14:paraId="06BE5111">
      <w:pPr>
        <w:ind w:firstLine="540"/>
        <w:jc w:val="left"/>
        <w:rPr>
          <w:rFonts w:ascii="仿宋_GB2312" w:eastAsia="仿宋_GB2312"/>
          <w:color w:val="auto"/>
          <w:kern w:val="0"/>
          <w:sz w:val="32"/>
          <w:szCs w:val="32"/>
        </w:rPr>
      </w:pPr>
      <w:r>
        <w:rPr>
          <w:rFonts w:hint="eastAsia" w:ascii="仿宋_GB2312" w:eastAsia="仿宋_GB2312"/>
          <w:color w:val="auto"/>
          <w:kern w:val="0"/>
          <w:sz w:val="32"/>
          <w:szCs w:val="32"/>
        </w:rPr>
        <w:t>4、合同期满,乙方应如期退还房屋。如果乙方未按期腾空并返还房屋的,视为乙方放弃留置于房屋中的物品所有权,甲方有权进入并腾空、收回房屋。</w:t>
      </w:r>
    </w:p>
    <w:p w14:paraId="06BE5112">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第十四条 其他约定条款</w:t>
      </w:r>
    </w:p>
    <w:p w14:paraId="06BE5113">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1、甲方将租赁的房屋交付给乙方使用，乙方不得在该房屋上或房屋附近进行违章加盖其他建筑，否则产生的不良后果由乙方承担，由此所产生的收益则全部归甲方所有。</w:t>
      </w:r>
    </w:p>
    <w:p w14:paraId="06BE5114">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2、本合同未尽事宜，经甲、乙双方协商一致，可补充说明或另行订立补充协议。补充协议及附件均为本合同不可分割的一部分，与本合同具有同等法律效力。</w:t>
      </w:r>
    </w:p>
    <w:p w14:paraId="06BE5115">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第十五条 争议的解决</w:t>
      </w:r>
    </w:p>
    <w:p w14:paraId="06BE5116">
      <w:pPr>
        <w:spacing w:line="48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双方因履行本合同而发生的争议 ,应友好协商解决，协商不成，双方均可向房屋所在地有管辖权的人民法院起诉，涉诉费用包括但不限于诉讼费、律师费、鉴定费、差旅费，由败诉方承担。</w:t>
      </w:r>
    </w:p>
    <w:p w14:paraId="06BE5117">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第十六条 生效及其他</w:t>
      </w:r>
    </w:p>
    <w:p w14:paraId="06BE5118">
      <w:pPr>
        <w:spacing w:line="560" w:lineRule="exact"/>
        <w:ind w:firstLine="640" w:firstLineChars="200"/>
        <w:rPr>
          <w:rFonts w:ascii="仿宋_GB2312" w:eastAsia="仿宋_GB2312"/>
          <w:color w:val="auto"/>
          <w:spacing w:val="-6"/>
          <w:kern w:val="0"/>
          <w:sz w:val="32"/>
          <w:szCs w:val="32"/>
        </w:rPr>
      </w:pPr>
      <w:r>
        <w:rPr>
          <w:rFonts w:hint="eastAsia" w:ascii="仿宋_GB2312" w:eastAsia="仿宋_GB2312"/>
          <w:color w:val="auto"/>
          <w:kern w:val="0"/>
          <w:sz w:val="32"/>
          <w:szCs w:val="32"/>
        </w:rPr>
        <w:t>本</w:t>
      </w:r>
      <w:r>
        <w:rPr>
          <w:rFonts w:hint="eastAsia" w:ascii="仿宋_GB2312" w:eastAsia="仿宋_GB2312"/>
          <w:color w:val="auto"/>
          <w:spacing w:val="-6"/>
          <w:kern w:val="0"/>
          <w:sz w:val="32"/>
          <w:szCs w:val="32"/>
        </w:rPr>
        <w:t>合同自双方法定代表或授权代表人（须有法人授权委托书）签字并加盖公章或合同专用章且收到乙方全额租金及保证金之日起生效（乙方为自然人的，需本人签字按手印并附身份证复印件）。本合同一式肆份，由甲方乙双方各执贰份，均具有同等法律效力。</w:t>
      </w:r>
    </w:p>
    <w:p w14:paraId="06BE5119">
      <w:pPr>
        <w:tabs>
          <w:tab w:val="left" w:pos="4680"/>
        </w:tabs>
        <w:spacing w:line="560" w:lineRule="exact"/>
        <w:rPr>
          <w:rFonts w:ascii="仿宋_GB2312" w:eastAsia="仿宋_GB2312"/>
          <w:color w:val="auto"/>
          <w:kern w:val="0"/>
          <w:sz w:val="32"/>
          <w:szCs w:val="32"/>
        </w:rPr>
      </w:pPr>
    </w:p>
    <w:p w14:paraId="06BE511A">
      <w:pPr>
        <w:tabs>
          <w:tab w:val="left" w:pos="4680"/>
        </w:tabs>
        <w:spacing w:line="560" w:lineRule="exact"/>
        <w:rPr>
          <w:rFonts w:ascii="仿宋_GB2312" w:eastAsia="仿宋_GB2312"/>
          <w:color w:val="auto"/>
          <w:kern w:val="0"/>
          <w:sz w:val="32"/>
          <w:szCs w:val="32"/>
        </w:rPr>
      </w:pPr>
      <w:r>
        <w:rPr>
          <w:rFonts w:hint="eastAsia" w:ascii="仿宋_GB2312" w:eastAsia="仿宋_GB2312"/>
          <w:color w:val="auto"/>
          <w:kern w:val="0"/>
          <w:sz w:val="32"/>
          <w:szCs w:val="32"/>
        </w:rPr>
        <w:t>甲方签章：</w:t>
      </w:r>
      <w:r>
        <w:rPr>
          <w:rFonts w:hint="eastAsia" w:ascii="仿宋_GB2312" w:eastAsia="仿宋_GB2312"/>
          <w:color w:val="auto"/>
          <w:kern w:val="0"/>
          <w:sz w:val="32"/>
          <w:szCs w:val="32"/>
        </w:rPr>
        <w:tab/>
      </w:r>
      <w:r>
        <w:rPr>
          <w:rFonts w:hint="eastAsia" w:ascii="仿宋_GB2312" w:eastAsia="仿宋_GB2312"/>
          <w:color w:val="auto"/>
          <w:kern w:val="0"/>
          <w:sz w:val="32"/>
          <w:szCs w:val="32"/>
        </w:rPr>
        <w:t>乙方签章：</w:t>
      </w:r>
    </w:p>
    <w:p w14:paraId="06BE511B">
      <w:pPr>
        <w:tabs>
          <w:tab w:val="left" w:pos="4680"/>
        </w:tabs>
        <w:spacing w:line="560" w:lineRule="exact"/>
        <w:rPr>
          <w:rFonts w:ascii="仿宋_GB2312" w:eastAsia="仿宋_GB2312"/>
          <w:color w:val="auto"/>
          <w:kern w:val="0"/>
          <w:sz w:val="32"/>
          <w:szCs w:val="32"/>
        </w:rPr>
      </w:pPr>
      <w:r>
        <w:rPr>
          <w:rFonts w:hint="eastAsia" w:ascii="仿宋_GB2312" w:eastAsia="仿宋_GB2312"/>
          <w:color w:val="auto"/>
          <w:kern w:val="0"/>
          <w:sz w:val="32"/>
          <w:szCs w:val="32"/>
        </w:rPr>
        <w:t>法人或授权代表签字：</w:t>
      </w:r>
      <w:r>
        <w:rPr>
          <w:rFonts w:hint="eastAsia" w:ascii="仿宋_GB2312" w:eastAsia="仿宋_GB2312"/>
          <w:color w:val="auto"/>
          <w:kern w:val="0"/>
          <w:sz w:val="32"/>
          <w:szCs w:val="32"/>
        </w:rPr>
        <w:tab/>
      </w:r>
      <w:r>
        <w:rPr>
          <w:rFonts w:hint="eastAsia" w:ascii="仿宋_GB2312" w:eastAsia="仿宋_GB2312"/>
          <w:color w:val="auto"/>
          <w:kern w:val="0"/>
          <w:sz w:val="32"/>
          <w:szCs w:val="32"/>
        </w:rPr>
        <w:t>法人或授权代表签字：</w:t>
      </w:r>
    </w:p>
    <w:p w14:paraId="06BE511C">
      <w:pPr>
        <w:tabs>
          <w:tab w:val="left" w:pos="5515"/>
        </w:tabs>
        <w:spacing w:line="560" w:lineRule="exact"/>
        <w:rPr>
          <w:rFonts w:ascii="仿宋_GB2312" w:eastAsia="仿宋_GB2312"/>
          <w:color w:val="auto"/>
          <w:kern w:val="0"/>
          <w:sz w:val="32"/>
          <w:szCs w:val="32"/>
        </w:rPr>
      </w:pPr>
      <w:r>
        <w:rPr>
          <w:rFonts w:hint="eastAsia" w:ascii="仿宋_GB2312" w:eastAsia="仿宋_GB2312"/>
          <w:color w:val="auto"/>
          <w:kern w:val="0"/>
          <w:sz w:val="32"/>
          <w:szCs w:val="32"/>
        </w:rPr>
        <w:t xml:space="preserve">      年   月   日                  年   月   日</w:t>
      </w:r>
    </w:p>
    <w:p w14:paraId="06BE511D">
      <w:pPr>
        <w:tabs>
          <w:tab w:val="left" w:pos="5515"/>
        </w:tabs>
        <w:spacing w:line="560" w:lineRule="exact"/>
        <w:rPr>
          <w:rFonts w:ascii="仿宋_GB2312" w:eastAsia="仿宋_GB2312"/>
          <w:color w:val="auto"/>
          <w:kern w:val="0"/>
          <w:sz w:val="32"/>
          <w:szCs w:val="32"/>
        </w:rPr>
      </w:pPr>
    </w:p>
    <w:p w14:paraId="06BE511E">
      <w:pPr>
        <w:tabs>
          <w:tab w:val="left" w:pos="5515"/>
        </w:tabs>
        <w:spacing w:line="560" w:lineRule="exact"/>
        <w:rPr>
          <w:rFonts w:ascii="仿宋_GB2312" w:eastAsia="仿宋_GB2312"/>
          <w:color w:val="auto"/>
          <w:kern w:val="0"/>
          <w:sz w:val="32"/>
          <w:szCs w:val="32"/>
        </w:rPr>
      </w:pPr>
    </w:p>
    <w:p w14:paraId="06BE511F">
      <w:pPr>
        <w:tabs>
          <w:tab w:val="left" w:pos="5515"/>
        </w:tabs>
        <w:spacing w:line="560" w:lineRule="exact"/>
        <w:rPr>
          <w:rFonts w:ascii="仿宋_GB2312" w:eastAsia="仿宋_GB2312"/>
          <w:color w:val="auto"/>
          <w:kern w:val="0"/>
          <w:sz w:val="32"/>
          <w:szCs w:val="32"/>
        </w:rPr>
      </w:pP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49"/>
        <w:gridCol w:w="5114"/>
        <w:gridCol w:w="1380"/>
      </w:tblGrid>
      <w:tr w14:paraId="06BE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14:paraId="06BE5120">
            <w:pPr>
              <w:widowControl/>
              <w:spacing w:after="100" w:afterAutospacing="1"/>
              <w:rPr>
                <w:rFonts w:eastAsia="黑体"/>
                <w:color w:val="auto"/>
                <w:kern w:val="0"/>
                <w:sz w:val="24"/>
              </w:rPr>
            </w:pPr>
            <w:r>
              <w:rPr>
                <w:rFonts w:hint="eastAsia" w:eastAsia="黑体"/>
                <w:bCs/>
                <w:color w:val="auto"/>
                <w:kern w:val="0"/>
                <w:sz w:val="32"/>
                <w:szCs w:val="32"/>
              </w:rPr>
              <w:t>租赁合同附件：房屋交接书</w:t>
            </w:r>
          </w:p>
        </w:tc>
        <w:tc>
          <w:tcPr>
            <w:tcW w:w="1380" w:type="dxa"/>
            <w:tcBorders>
              <w:top w:val="single" w:color="auto" w:sz="4" w:space="0"/>
              <w:left w:val="single" w:color="auto" w:sz="4" w:space="0"/>
              <w:bottom w:val="single" w:color="auto" w:sz="4" w:space="0"/>
              <w:right w:val="single" w:color="auto" w:sz="4" w:space="0"/>
            </w:tcBorders>
            <w:vAlign w:val="center"/>
          </w:tcPr>
          <w:p w14:paraId="06BE5121">
            <w:pPr>
              <w:widowControl/>
              <w:spacing w:after="100" w:afterAutospacing="1"/>
              <w:rPr>
                <w:rFonts w:eastAsia="黑体"/>
                <w:color w:val="auto"/>
                <w:kern w:val="0"/>
                <w:sz w:val="24"/>
              </w:rPr>
            </w:pPr>
            <w:r>
              <w:rPr>
                <w:rFonts w:hint="eastAsia" w:eastAsia="黑体"/>
                <w:bCs/>
                <w:color w:val="auto"/>
                <w:kern w:val="0"/>
                <w:sz w:val="32"/>
                <w:szCs w:val="32"/>
              </w:rPr>
              <w:t>备注</w:t>
            </w:r>
          </w:p>
        </w:tc>
      </w:tr>
      <w:tr w14:paraId="06BE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57" w:type="dxa"/>
            <w:tcBorders>
              <w:top w:val="single" w:color="auto" w:sz="4" w:space="0"/>
              <w:left w:val="single" w:color="auto" w:sz="4" w:space="0"/>
              <w:bottom w:val="single" w:color="auto" w:sz="4" w:space="0"/>
              <w:right w:val="single" w:color="auto" w:sz="4" w:space="0"/>
            </w:tcBorders>
            <w:vAlign w:val="center"/>
          </w:tcPr>
          <w:p w14:paraId="06BE5123">
            <w:pPr>
              <w:widowControl/>
              <w:spacing w:after="150" w:line="420" w:lineRule="atLeast"/>
              <w:rPr>
                <w:b/>
                <w:bCs/>
                <w:color w:val="auto"/>
                <w:kern w:val="0"/>
                <w:sz w:val="24"/>
              </w:rPr>
            </w:pPr>
            <w:r>
              <w:rPr>
                <w:rFonts w:hint="eastAsia" w:hAnsi="宋体"/>
                <w:b/>
                <w:bCs/>
                <w:color w:val="auto"/>
                <w:kern w:val="0"/>
                <w:sz w:val="24"/>
              </w:rPr>
              <w:t>一</w:t>
            </w:r>
          </w:p>
        </w:tc>
        <w:tc>
          <w:tcPr>
            <w:tcW w:w="1449" w:type="dxa"/>
            <w:tcBorders>
              <w:top w:val="single" w:color="auto" w:sz="4" w:space="0"/>
              <w:left w:val="single" w:color="auto" w:sz="4" w:space="0"/>
              <w:bottom w:val="single" w:color="auto" w:sz="4" w:space="0"/>
              <w:right w:val="single" w:color="auto" w:sz="4" w:space="0"/>
            </w:tcBorders>
            <w:vAlign w:val="center"/>
          </w:tcPr>
          <w:p w14:paraId="06BE5124">
            <w:pPr>
              <w:widowControl/>
              <w:spacing w:after="150" w:line="420" w:lineRule="atLeast"/>
              <w:rPr>
                <w:bCs/>
                <w:color w:val="auto"/>
                <w:kern w:val="0"/>
                <w:sz w:val="24"/>
              </w:rPr>
            </w:pPr>
            <w:r>
              <w:rPr>
                <w:rFonts w:hint="eastAsia" w:hAnsi="宋体"/>
                <w:bCs/>
                <w:color w:val="auto"/>
                <w:kern w:val="0"/>
                <w:sz w:val="24"/>
              </w:rPr>
              <w:t>房屋装修</w:t>
            </w:r>
          </w:p>
          <w:p w14:paraId="06BE5125">
            <w:pPr>
              <w:widowControl/>
              <w:spacing w:after="150" w:line="420" w:lineRule="atLeast"/>
              <w:rPr>
                <w:bCs/>
                <w:color w:val="auto"/>
                <w:kern w:val="0"/>
                <w:sz w:val="24"/>
              </w:rPr>
            </w:pPr>
            <w:r>
              <w:rPr>
                <w:rFonts w:hint="eastAsia" w:hAnsi="宋体"/>
                <w:bCs/>
                <w:color w:val="auto"/>
                <w:kern w:val="0"/>
                <w:sz w:val="24"/>
              </w:rPr>
              <w:t>情况</w:t>
            </w:r>
          </w:p>
        </w:tc>
        <w:tc>
          <w:tcPr>
            <w:tcW w:w="5114" w:type="dxa"/>
            <w:tcBorders>
              <w:top w:val="single" w:color="auto" w:sz="4" w:space="0"/>
              <w:left w:val="single" w:color="auto" w:sz="4" w:space="0"/>
              <w:bottom w:val="single" w:color="auto" w:sz="4" w:space="0"/>
              <w:right w:val="single" w:color="auto" w:sz="4" w:space="0"/>
            </w:tcBorders>
            <w:vAlign w:val="center"/>
          </w:tcPr>
          <w:p w14:paraId="06BE5126">
            <w:pPr>
              <w:widowControl/>
              <w:spacing w:after="150" w:line="240" w:lineRule="atLeast"/>
              <w:jc w:val="left"/>
              <w:rPr>
                <w:color w:val="auto"/>
                <w:kern w:val="0"/>
                <w:sz w:val="24"/>
              </w:rPr>
            </w:pPr>
          </w:p>
          <w:p w14:paraId="06BE5127">
            <w:pPr>
              <w:widowControl/>
              <w:spacing w:after="150" w:line="240" w:lineRule="atLeast"/>
              <w:jc w:val="left"/>
              <w:rPr>
                <w:color w:val="auto"/>
                <w:kern w:val="0"/>
                <w:sz w:val="24"/>
              </w:rPr>
            </w:pPr>
            <w:r>
              <w:rPr>
                <w:rFonts w:hint="eastAsia"/>
                <w:color w:val="auto"/>
                <w:kern w:val="0"/>
                <w:sz w:val="24"/>
              </w:rPr>
              <w:t>自装</w:t>
            </w:r>
          </w:p>
          <w:p w14:paraId="06BE5128">
            <w:pPr>
              <w:widowControl/>
              <w:spacing w:after="150" w:line="240" w:lineRule="atLeast"/>
              <w:jc w:val="left"/>
              <w:rPr>
                <w:color w:val="auto"/>
                <w:kern w:val="0"/>
                <w:sz w:val="24"/>
              </w:rPr>
            </w:pPr>
          </w:p>
          <w:p w14:paraId="06BE5129">
            <w:pPr>
              <w:widowControl/>
              <w:spacing w:after="150" w:line="240" w:lineRule="atLeast"/>
              <w:jc w:val="left"/>
              <w:rPr>
                <w:color w:val="auto"/>
                <w:kern w:val="0"/>
                <w:sz w:val="24"/>
              </w:rPr>
            </w:pPr>
          </w:p>
          <w:p w14:paraId="06BE512A">
            <w:pPr>
              <w:widowControl/>
              <w:spacing w:after="150" w:line="240" w:lineRule="atLeast"/>
              <w:jc w:val="left"/>
              <w:rPr>
                <w:color w:val="auto"/>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6BE512B">
            <w:pPr>
              <w:widowControl/>
              <w:spacing w:after="150" w:line="240" w:lineRule="atLeast"/>
              <w:jc w:val="left"/>
              <w:rPr>
                <w:color w:val="auto"/>
                <w:kern w:val="0"/>
                <w:sz w:val="24"/>
              </w:rPr>
            </w:pPr>
          </w:p>
        </w:tc>
      </w:tr>
      <w:tr w14:paraId="06BE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tcBorders>
              <w:top w:val="single" w:color="auto" w:sz="4" w:space="0"/>
              <w:left w:val="single" w:color="auto" w:sz="4" w:space="0"/>
              <w:bottom w:val="single" w:color="auto" w:sz="4" w:space="0"/>
              <w:right w:val="single" w:color="auto" w:sz="4" w:space="0"/>
            </w:tcBorders>
            <w:vAlign w:val="center"/>
          </w:tcPr>
          <w:p w14:paraId="06BE512D">
            <w:pPr>
              <w:widowControl/>
              <w:spacing w:after="150" w:line="420" w:lineRule="atLeast"/>
              <w:rPr>
                <w:b/>
                <w:bCs/>
                <w:color w:val="auto"/>
                <w:kern w:val="0"/>
                <w:sz w:val="24"/>
              </w:rPr>
            </w:pPr>
            <w:r>
              <w:rPr>
                <w:rFonts w:hint="eastAsia" w:hAnsi="宋体"/>
                <w:b/>
                <w:bCs/>
                <w:color w:val="auto"/>
                <w:kern w:val="0"/>
                <w:sz w:val="24"/>
              </w:rPr>
              <w:t>二</w:t>
            </w:r>
          </w:p>
        </w:tc>
        <w:tc>
          <w:tcPr>
            <w:tcW w:w="1449" w:type="dxa"/>
            <w:tcBorders>
              <w:top w:val="single" w:color="auto" w:sz="4" w:space="0"/>
              <w:left w:val="single" w:color="auto" w:sz="4" w:space="0"/>
              <w:bottom w:val="single" w:color="auto" w:sz="4" w:space="0"/>
              <w:right w:val="single" w:color="auto" w:sz="4" w:space="0"/>
            </w:tcBorders>
            <w:vAlign w:val="center"/>
          </w:tcPr>
          <w:p w14:paraId="06BE512E">
            <w:pPr>
              <w:widowControl/>
              <w:spacing w:after="150" w:line="420" w:lineRule="atLeast"/>
              <w:rPr>
                <w:bCs/>
                <w:color w:val="auto"/>
                <w:kern w:val="0"/>
                <w:sz w:val="24"/>
              </w:rPr>
            </w:pPr>
            <w:r>
              <w:rPr>
                <w:rFonts w:hint="eastAsia" w:hAnsi="宋体"/>
                <w:bCs/>
                <w:color w:val="auto"/>
                <w:kern w:val="0"/>
                <w:sz w:val="24"/>
              </w:rPr>
              <w:t>房屋附属</w:t>
            </w:r>
          </w:p>
          <w:p w14:paraId="06BE512F">
            <w:pPr>
              <w:widowControl/>
              <w:spacing w:after="150" w:line="420" w:lineRule="atLeast"/>
              <w:rPr>
                <w:bCs/>
                <w:color w:val="auto"/>
                <w:kern w:val="0"/>
                <w:sz w:val="24"/>
              </w:rPr>
            </w:pPr>
            <w:r>
              <w:rPr>
                <w:rFonts w:hint="eastAsia" w:hAnsi="宋体"/>
                <w:bCs/>
                <w:color w:val="auto"/>
                <w:kern w:val="0"/>
                <w:sz w:val="24"/>
              </w:rPr>
              <w:t>设施清单</w:t>
            </w:r>
          </w:p>
        </w:tc>
        <w:tc>
          <w:tcPr>
            <w:tcW w:w="5114" w:type="dxa"/>
            <w:tcBorders>
              <w:top w:val="single" w:color="auto" w:sz="4" w:space="0"/>
              <w:left w:val="single" w:color="auto" w:sz="4" w:space="0"/>
              <w:bottom w:val="single" w:color="auto" w:sz="4" w:space="0"/>
              <w:right w:val="single" w:color="auto" w:sz="4" w:space="0"/>
            </w:tcBorders>
            <w:vAlign w:val="center"/>
          </w:tcPr>
          <w:p w14:paraId="06BE5130">
            <w:pPr>
              <w:widowControl/>
              <w:spacing w:after="150" w:line="240" w:lineRule="atLeast"/>
              <w:jc w:val="left"/>
              <w:rPr>
                <w:color w:val="auto"/>
                <w:kern w:val="0"/>
                <w:sz w:val="24"/>
              </w:rPr>
            </w:pPr>
          </w:p>
          <w:p w14:paraId="06BE5131">
            <w:pPr>
              <w:widowControl/>
              <w:spacing w:after="150" w:line="240" w:lineRule="atLeast"/>
              <w:jc w:val="left"/>
              <w:rPr>
                <w:color w:val="auto"/>
                <w:kern w:val="0"/>
                <w:sz w:val="24"/>
              </w:rPr>
            </w:pPr>
          </w:p>
          <w:p w14:paraId="06BE5132">
            <w:pPr>
              <w:widowControl/>
              <w:spacing w:after="150" w:line="240" w:lineRule="atLeast"/>
              <w:jc w:val="left"/>
              <w:rPr>
                <w:color w:val="auto"/>
                <w:kern w:val="0"/>
                <w:sz w:val="24"/>
              </w:rPr>
            </w:pPr>
          </w:p>
          <w:p w14:paraId="06BE5133">
            <w:pPr>
              <w:widowControl/>
              <w:spacing w:after="150" w:line="240" w:lineRule="atLeast"/>
              <w:jc w:val="left"/>
              <w:rPr>
                <w:color w:val="auto"/>
                <w:kern w:val="0"/>
                <w:sz w:val="24"/>
              </w:rPr>
            </w:pPr>
            <w:r>
              <w:rPr>
                <w:rFonts w:hint="eastAsia"/>
                <w:color w:val="auto"/>
                <w:kern w:val="0"/>
                <w:sz w:val="24"/>
              </w:rPr>
              <w:t>门</w:t>
            </w:r>
            <w:r>
              <w:rPr>
                <w:color w:val="auto"/>
                <w:kern w:val="0"/>
                <w:sz w:val="24"/>
              </w:rPr>
              <w:t xml:space="preserve">.  </w:t>
            </w:r>
            <w:r>
              <w:rPr>
                <w:rFonts w:hint="eastAsia"/>
                <w:color w:val="auto"/>
                <w:kern w:val="0"/>
                <w:sz w:val="24"/>
              </w:rPr>
              <w:t>窗</w:t>
            </w:r>
          </w:p>
          <w:p w14:paraId="06BE5134">
            <w:pPr>
              <w:widowControl/>
              <w:spacing w:after="150" w:line="240" w:lineRule="atLeast"/>
              <w:jc w:val="left"/>
              <w:rPr>
                <w:color w:val="auto"/>
                <w:kern w:val="0"/>
                <w:sz w:val="24"/>
              </w:rPr>
            </w:pPr>
          </w:p>
          <w:p w14:paraId="06BE5135">
            <w:pPr>
              <w:widowControl/>
              <w:spacing w:after="150" w:line="240" w:lineRule="atLeast"/>
              <w:jc w:val="left"/>
              <w:rPr>
                <w:color w:val="auto"/>
                <w:kern w:val="0"/>
                <w:sz w:val="24"/>
              </w:rPr>
            </w:pPr>
          </w:p>
          <w:p w14:paraId="06BE5136">
            <w:pPr>
              <w:widowControl/>
              <w:spacing w:after="150" w:line="240" w:lineRule="atLeast"/>
              <w:jc w:val="left"/>
              <w:rPr>
                <w:color w:val="auto"/>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6BE5137">
            <w:pPr>
              <w:widowControl/>
              <w:spacing w:after="150" w:line="240" w:lineRule="atLeast"/>
              <w:jc w:val="left"/>
              <w:rPr>
                <w:color w:val="auto"/>
                <w:kern w:val="0"/>
                <w:sz w:val="24"/>
              </w:rPr>
            </w:pPr>
          </w:p>
        </w:tc>
      </w:tr>
      <w:tr w14:paraId="06B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06BE5139">
            <w:pPr>
              <w:widowControl/>
              <w:spacing w:after="150" w:line="420" w:lineRule="atLeast"/>
              <w:rPr>
                <w:b/>
                <w:bCs/>
                <w:color w:val="auto"/>
                <w:kern w:val="0"/>
                <w:sz w:val="24"/>
              </w:rPr>
            </w:pPr>
            <w:r>
              <w:rPr>
                <w:rFonts w:hint="eastAsia" w:hAnsi="宋体"/>
                <w:b/>
                <w:bCs/>
                <w:color w:val="auto"/>
                <w:kern w:val="0"/>
                <w:sz w:val="24"/>
              </w:rPr>
              <w:t>三</w:t>
            </w:r>
          </w:p>
        </w:tc>
        <w:tc>
          <w:tcPr>
            <w:tcW w:w="1449" w:type="dxa"/>
            <w:tcBorders>
              <w:top w:val="single" w:color="auto" w:sz="4" w:space="0"/>
              <w:left w:val="single" w:color="auto" w:sz="4" w:space="0"/>
              <w:bottom w:val="single" w:color="auto" w:sz="4" w:space="0"/>
              <w:right w:val="single" w:color="auto" w:sz="4" w:space="0"/>
            </w:tcBorders>
            <w:vAlign w:val="center"/>
          </w:tcPr>
          <w:p w14:paraId="06BE513A">
            <w:pPr>
              <w:widowControl/>
              <w:spacing w:after="150" w:line="420" w:lineRule="atLeast"/>
              <w:rPr>
                <w:bCs/>
                <w:color w:val="auto"/>
                <w:kern w:val="0"/>
                <w:sz w:val="24"/>
              </w:rPr>
            </w:pPr>
            <w:r>
              <w:rPr>
                <w:rFonts w:hint="eastAsia" w:hAnsi="宋体"/>
                <w:bCs/>
                <w:color w:val="auto"/>
                <w:kern w:val="0"/>
                <w:sz w:val="24"/>
              </w:rPr>
              <w:t>水表读数</w:t>
            </w:r>
            <w:r>
              <w:rPr>
                <w:bCs/>
                <w:color w:val="auto"/>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06BE513B">
            <w:pPr>
              <w:widowControl/>
              <w:spacing w:after="150" w:line="240" w:lineRule="atLeast"/>
              <w:jc w:val="left"/>
              <w:rPr>
                <w:color w:val="auto"/>
                <w:kern w:val="0"/>
                <w:sz w:val="24"/>
              </w:rPr>
            </w:pPr>
            <w:r>
              <w:rPr>
                <w:rFonts w:hint="eastAsia"/>
                <w:color w:val="auto"/>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06BE513C">
            <w:pPr>
              <w:widowControl/>
              <w:spacing w:after="150" w:line="240" w:lineRule="atLeast"/>
              <w:jc w:val="left"/>
              <w:rPr>
                <w:color w:val="auto"/>
                <w:kern w:val="0"/>
                <w:sz w:val="24"/>
              </w:rPr>
            </w:pPr>
          </w:p>
        </w:tc>
      </w:tr>
      <w:tr w14:paraId="06BE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3E">
            <w:pPr>
              <w:widowControl/>
              <w:jc w:val="left"/>
              <w:rPr>
                <w:b/>
                <w:bCs/>
                <w:color w:val="auto"/>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06BE513F">
            <w:pPr>
              <w:widowControl/>
              <w:spacing w:after="150" w:line="420" w:lineRule="atLeast"/>
              <w:rPr>
                <w:bCs/>
                <w:color w:val="auto"/>
                <w:kern w:val="0"/>
                <w:sz w:val="24"/>
              </w:rPr>
            </w:pPr>
            <w:r>
              <w:rPr>
                <w:rFonts w:hint="eastAsia" w:hAnsi="宋体"/>
                <w:bCs/>
                <w:color w:val="auto"/>
                <w:kern w:val="0"/>
                <w:sz w:val="24"/>
              </w:rPr>
              <w:t>水表读数</w:t>
            </w:r>
            <w:r>
              <w:rPr>
                <w:bCs/>
                <w:color w:val="auto"/>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06BE5140">
            <w:pPr>
              <w:widowControl/>
              <w:spacing w:after="150" w:line="240" w:lineRule="atLeast"/>
              <w:jc w:val="left"/>
              <w:rPr>
                <w:color w:val="auto"/>
                <w:kern w:val="0"/>
                <w:sz w:val="24"/>
              </w:rPr>
            </w:pPr>
            <w:r>
              <w:rPr>
                <w:rFonts w:hint="eastAsia"/>
                <w:color w:val="auto"/>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41">
            <w:pPr>
              <w:widowControl/>
              <w:jc w:val="left"/>
              <w:rPr>
                <w:color w:val="auto"/>
                <w:kern w:val="0"/>
                <w:sz w:val="24"/>
              </w:rPr>
            </w:pPr>
          </w:p>
        </w:tc>
      </w:tr>
      <w:tr w14:paraId="06BE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06BE5143">
            <w:pPr>
              <w:widowControl/>
              <w:spacing w:after="150" w:line="420" w:lineRule="atLeast"/>
              <w:rPr>
                <w:bCs/>
                <w:color w:val="auto"/>
                <w:kern w:val="0"/>
                <w:sz w:val="24"/>
              </w:rPr>
            </w:pPr>
            <w:r>
              <w:rPr>
                <w:rFonts w:hint="eastAsia" w:hAnsi="宋体"/>
                <w:bCs/>
                <w:color w:val="auto"/>
                <w:kern w:val="0"/>
                <w:sz w:val="24"/>
              </w:rPr>
              <w:t>四</w:t>
            </w:r>
          </w:p>
        </w:tc>
        <w:tc>
          <w:tcPr>
            <w:tcW w:w="1449" w:type="dxa"/>
            <w:tcBorders>
              <w:top w:val="single" w:color="auto" w:sz="4" w:space="0"/>
              <w:left w:val="single" w:color="auto" w:sz="4" w:space="0"/>
              <w:bottom w:val="single" w:color="auto" w:sz="4" w:space="0"/>
              <w:right w:val="single" w:color="auto" w:sz="4" w:space="0"/>
            </w:tcBorders>
            <w:vAlign w:val="center"/>
          </w:tcPr>
          <w:p w14:paraId="06BE5144">
            <w:pPr>
              <w:widowControl/>
              <w:spacing w:after="150" w:line="420" w:lineRule="atLeast"/>
              <w:rPr>
                <w:bCs/>
                <w:color w:val="auto"/>
                <w:kern w:val="0"/>
                <w:sz w:val="24"/>
              </w:rPr>
            </w:pPr>
            <w:r>
              <w:rPr>
                <w:rFonts w:hint="eastAsia" w:hAnsi="宋体"/>
                <w:bCs/>
                <w:color w:val="auto"/>
                <w:kern w:val="0"/>
                <w:sz w:val="24"/>
              </w:rPr>
              <w:t>电表读数</w:t>
            </w:r>
            <w:r>
              <w:rPr>
                <w:bCs/>
                <w:color w:val="auto"/>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06BE5145">
            <w:pPr>
              <w:widowControl/>
              <w:spacing w:after="150" w:line="240" w:lineRule="atLeast"/>
              <w:jc w:val="left"/>
              <w:rPr>
                <w:color w:val="auto"/>
                <w:kern w:val="0"/>
                <w:sz w:val="24"/>
              </w:rPr>
            </w:pPr>
            <w:r>
              <w:rPr>
                <w:rFonts w:hint="eastAsia"/>
                <w:color w:val="auto"/>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06BE5146">
            <w:pPr>
              <w:widowControl/>
              <w:spacing w:after="150" w:line="240" w:lineRule="atLeast"/>
              <w:jc w:val="left"/>
              <w:rPr>
                <w:color w:val="auto"/>
                <w:kern w:val="0"/>
                <w:sz w:val="24"/>
              </w:rPr>
            </w:pPr>
          </w:p>
        </w:tc>
      </w:tr>
      <w:tr w14:paraId="06BE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48">
            <w:pPr>
              <w:widowControl/>
              <w:jc w:val="left"/>
              <w:rPr>
                <w:bCs/>
                <w:color w:val="auto"/>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06BE5149">
            <w:pPr>
              <w:widowControl/>
              <w:spacing w:after="150" w:line="420" w:lineRule="atLeast"/>
              <w:rPr>
                <w:bCs/>
                <w:color w:val="auto"/>
                <w:kern w:val="0"/>
                <w:sz w:val="24"/>
              </w:rPr>
            </w:pPr>
            <w:r>
              <w:rPr>
                <w:rFonts w:hint="eastAsia" w:hAnsi="宋体"/>
                <w:bCs/>
                <w:color w:val="auto"/>
                <w:kern w:val="0"/>
                <w:sz w:val="24"/>
              </w:rPr>
              <w:t>电表读数</w:t>
            </w:r>
            <w:r>
              <w:rPr>
                <w:bCs/>
                <w:color w:val="auto"/>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06BE514A">
            <w:pPr>
              <w:widowControl/>
              <w:spacing w:after="150" w:line="240" w:lineRule="atLeast"/>
              <w:jc w:val="left"/>
              <w:rPr>
                <w:color w:val="auto"/>
                <w:kern w:val="0"/>
                <w:sz w:val="24"/>
              </w:rPr>
            </w:pPr>
            <w:r>
              <w:rPr>
                <w:rFonts w:hint="eastAsia"/>
                <w:color w:val="auto"/>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4B">
            <w:pPr>
              <w:widowControl/>
              <w:jc w:val="left"/>
              <w:rPr>
                <w:color w:val="auto"/>
                <w:kern w:val="0"/>
                <w:sz w:val="24"/>
              </w:rPr>
            </w:pPr>
          </w:p>
        </w:tc>
      </w:tr>
      <w:tr w14:paraId="06BE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6BE514D">
            <w:pPr>
              <w:widowControl/>
              <w:spacing w:after="150" w:line="420" w:lineRule="atLeast"/>
              <w:rPr>
                <w:bCs/>
                <w:color w:val="auto"/>
                <w:kern w:val="0"/>
                <w:sz w:val="24"/>
              </w:rPr>
            </w:pPr>
            <w:r>
              <w:rPr>
                <w:rFonts w:hint="eastAsia" w:hAnsi="宋体"/>
                <w:bCs/>
                <w:color w:val="auto"/>
                <w:kern w:val="0"/>
                <w:sz w:val="24"/>
              </w:rPr>
              <w:t>五</w:t>
            </w:r>
          </w:p>
        </w:tc>
        <w:tc>
          <w:tcPr>
            <w:tcW w:w="1449" w:type="dxa"/>
            <w:tcBorders>
              <w:top w:val="single" w:color="auto" w:sz="4" w:space="0"/>
              <w:left w:val="single" w:color="auto" w:sz="4" w:space="0"/>
              <w:bottom w:val="single" w:color="auto" w:sz="4" w:space="0"/>
              <w:right w:val="single" w:color="auto" w:sz="4" w:space="0"/>
            </w:tcBorders>
            <w:vAlign w:val="center"/>
          </w:tcPr>
          <w:p w14:paraId="06BE514E">
            <w:pPr>
              <w:widowControl/>
              <w:spacing w:after="150" w:line="420" w:lineRule="atLeast"/>
              <w:rPr>
                <w:bCs/>
                <w:color w:val="auto"/>
                <w:kern w:val="0"/>
                <w:sz w:val="24"/>
              </w:rPr>
            </w:pPr>
            <w:r>
              <w:rPr>
                <w:rFonts w:hint="eastAsia" w:hAnsi="宋体"/>
                <w:bCs/>
                <w:color w:val="auto"/>
                <w:kern w:val="0"/>
                <w:sz w:val="24"/>
              </w:rPr>
              <w:t>其他</w:t>
            </w:r>
          </w:p>
        </w:tc>
        <w:tc>
          <w:tcPr>
            <w:tcW w:w="5114" w:type="dxa"/>
            <w:tcBorders>
              <w:top w:val="single" w:color="auto" w:sz="4" w:space="0"/>
              <w:left w:val="single" w:color="auto" w:sz="4" w:space="0"/>
              <w:bottom w:val="single" w:color="auto" w:sz="4" w:space="0"/>
              <w:right w:val="single" w:color="auto" w:sz="4" w:space="0"/>
            </w:tcBorders>
            <w:vAlign w:val="center"/>
          </w:tcPr>
          <w:p w14:paraId="06BE514F">
            <w:pPr>
              <w:widowControl/>
              <w:spacing w:after="150" w:line="240" w:lineRule="atLeast"/>
              <w:jc w:val="left"/>
              <w:rPr>
                <w:color w:val="auto"/>
                <w:kern w:val="0"/>
                <w:sz w:val="24"/>
              </w:rPr>
            </w:pPr>
          </w:p>
          <w:p w14:paraId="06BE5150">
            <w:pPr>
              <w:widowControl/>
              <w:spacing w:after="150" w:line="240" w:lineRule="atLeast"/>
              <w:jc w:val="left"/>
              <w:rPr>
                <w:color w:val="auto"/>
                <w:kern w:val="0"/>
                <w:sz w:val="24"/>
              </w:rPr>
            </w:pPr>
            <w:r>
              <w:rPr>
                <w:rFonts w:hint="eastAsia"/>
                <w:color w:val="auto"/>
                <w:kern w:val="0"/>
                <w:sz w:val="24"/>
              </w:rPr>
              <w:t>否</w:t>
            </w:r>
          </w:p>
          <w:p w14:paraId="06BE5151">
            <w:pPr>
              <w:widowControl/>
              <w:spacing w:after="150" w:line="240" w:lineRule="atLeast"/>
              <w:jc w:val="left"/>
              <w:rPr>
                <w:color w:val="auto"/>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6BE5152">
            <w:pPr>
              <w:widowControl/>
              <w:spacing w:after="150" w:line="240" w:lineRule="atLeast"/>
              <w:jc w:val="left"/>
              <w:rPr>
                <w:color w:val="auto"/>
                <w:kern w:val="0"/>
                <w:sz w:val="24"/>
              </w:rPr>
            </w:pPr>
          </w:p>
        </w:tc>
      </w:tr>
      <w:tr w14:paraId="06BE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6BE5154">
            <w:pPr>
              <w:widowControl/>
              <w:spacing w:after="150" w:line="420" w:lineRule="atLeast"/>
              <w:rPr>
                <w:bCs/>
                <w:color w:val="auto"/>
                <w:kern w:val="0"/>
                <w:sz w:val="24"/>
              </w:rPr>
            </w:pPr>
            <w:r>
              <w:rPr>
                <w:rFonts w:hint="eastAsia" w:hAnsi="宋体"/>
                <w:bCs/>
                <w:color w:val="auto"/>
                <w:kern w:val="0"/>
                <w:sz w:val="24"/>
              </w:rPr>
              <w:t>六</w:t>
            </w:r>
          </w:p>
        </w:tc>
        <w:tc>
          <w:tcPr>
            <w:tcW w:w="1449" w:type="dxa"/>
            <w:tcBorders>
              <w:top w:val="single" w:color="auto" w:sz="4" w:space="0"/>
              <w:left w:val="single" w:color="auto" w:sz="4" w:space="0"/>
              <w:bottom w:val="single" w:color="auto" w:sz="4" w:space="0"/>
              <w:right w:val="single" w:color="auto" w:sz="4" w:space="0"/>
            </w:tcBorders>
            <w:vAlign w:val="center"/>
          </w:tcPr>
          <w:p w14:paraId="06BE5155">
            <w:pPr>
              <w:widowControl/>
              <w:spacing w:after="150" w:line="420" w:lineRule="atLeast"/>
              <w:rPr>
                <w:bCs/>
                <w:color w:val="auto"/>
                <w:kern w:val="0"/>
                <w:sz w:val="24"/>
              </w:rPr>
            </w:pPr>
            <w:r>
              <w:rPr>
                <w:rFonts w:hint="eastAsia" w:hAnsi="宋体"/>
                <w:bCs/>
                <w:color w:val="auto"/>
                <w:kern w:val="0"/>
                <w:sz w:val="24"/>
              </w:rPr>
              <w:t>签字</w:t>
            </w:r>
          </w:p>
        </w:tc>
        <w:tc>
          <w:tcPr>
            <w:tcW w:w="6494" w:type="dxa"/>
            <w:gridSpan w:val="2"/>
            <w:tcBorders>
              <w:top w:val="single" w:color="auto" w:sz="4" w:space="0"/>
              <w:left w:val="single" w:color="auto" w:sz="4" w:space="0"/>
              <w:bottom w:val="single" w:color="auto" w:sz="4" w:space="0"/>
              <w:right w:val="single" w:color="auto" w:sz="4" w:space="0"/>
            </w:tcBorders>
            <w:vAlign w:val="center"/>
          </w:tcPr>
          <w:p w14:paraId="06BE5156">
            <w:pPr>
              <w:widowControl/>
              <w:spacing w:after="150" w:line="240" w:lineRule="atLeast"/>
              <w:jc w:val="left"/>
              <w:rPr>
                <w:color w:val="auto"/>
                <w:kern w:val="0"/>
                <w:sz w:val="24"/>
              </w:rPr>
            </w:pPr>
            <w:r>
              <w:rPr>
                <w:rFonts w:hint="eastAsia" w:hAnsi="宋体"/>
                <w:color w:val="auto"/>
                <w:kern w:val="0"/>
                <w:sz w:val="24"/>
              </w:rPr>
              <w:t>甲方交房：</w:t>
            </w:r>
            <w:r>
              <w:rPr>
                <w:color w:val="auto"/>
                <w:kern w:val="0"/>
                <w:sz w:val="24"/>
              </w:rPr>
              <w:t xml:space="preserve">                  </w:t>
            </w:r>
            <w:r>
              <w:rPr>
                <w:rFonts w:hint="eastAsia" w:hAnsi="宋体"/>
                <w:color w:val="auto"/>
                <w:kern w:val="0"/>
                <w:sz w:val="24"/>
              </w:rPr>
              <w:t>乙方验收：</w:t>
            </w:r>
          </w:p>
          <w:p w14:paraId="06BE5157">
            <w:pPr>
              <w:widowControl/>
              <w:spacing w:after="150" w:line="240" w:lineRule="atLeast"/>
              <w:ind w:firstLine="720" w:firstLineChars="300"/>
              <w:jc w:val="left"/>
              <w:rPr>
                <w:color w:val="auto"/>
                <w:kern w:val="0"/>
                <w:sz w:val="24"/>
              </w:rPr>
            </w:pP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r>
              <w:rPr>
                <w:color w:val="auto"/>
                <w:kern w:val="0"/>
                <w:sz w:val="24"/>
              </w:rPr>
              <w:t xml:space="preserve">                   </w:t>
            </w: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r>
              <w:rPr>
                <w:color w:val="auto"/>
                <w:kern w:val="0"/>
                <w:sz w:val="24"/>
              </w:rPr>
              <w:t xml:space="preserve"> </w:t>
            </w:r>
          </w:p>
          <w:p w14:paraId="06BE5158">
            <w:pPr>
              <w:widowControl/>
              <w:spacing w:after="150" w:line="240" w:lineRule="atLeast"/>
              <w:jc w:val="left"/>
              <w:rPr>
                <w:color w:val="auto"/>
                <w:kern w:val="0"/>
                <w:sz w:val="24"/>
              </w:rPr>
            </w:pPr>
            <w:r>
              <w:rPr>
                <w:rFonts w:hint="eastAsia" w:hAnsi="宋体"/>
                <w:color w:val="auto"/>
                <w:kern w:val="0"/>
                <w:sz w:val="24"/>
              </w:rPr>
              <w:t>乙方交房：</w:t>
            </w:r>
            <w:r>
              <w:rPr>
                <w:color w:val="auto"/>
                <w:kern w:val="0"/>
                <w:sz w:val="24"/>
              </w:rPr>
              <w:t xml:space="preserve">                  </w:t>
            </w:r>
            <w:r>
              <w:rPr>
                <w:rFonts w:hint="eastAsia" w:hAnsi="宋体"/>
                <w:color w:val="auto"/>
                <w:kern w:val="0"/>
                <w:sz w:val="24"/>
              </w:rPr>
              <w:t>甲方验收：</w:t>
            </w:r>
          </w:p>
          <w:p w14:paraId="06BE5159">
            <w:pPr>
              <w:widowControl/>
              <w:spacing w:after="150" w:line="240" w:lineRule="atLeast"/>
              <w:ind w:firstLine="720" w:firstLineChars="300"/>
              <w:jc w:val="left"/>
              <w:rPr>
                <w:color w:val="auto"/>
                <w:kern w:val="0"/>
                <w:sz w:val="24"/>
              </w:rPr>
            </w:pP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r>
              <w:rPr>
                <w:color w:val="auto"/>
                <w:kern w:val="0"/>
                <w:sz w:val="24"/>
              </w:rPr>
              <w:t xml:space="preserve">                   </w:t>
            </w: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p>
        </w:tc>
      </w:tr>
    </w:tbl>
    <w:p w14:paraId="06BE515D">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515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E516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BE516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515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WQ3NDZiNjY5NjI2MWE4NjI4NGNjMzE5YTc1YTIifQ=="/>
  </w:docVars>
  <w:rsids>
    <w:rsidRoot w:val="002D605F"/>
    <w:rsid w:val="000348F8"/>
    <w:rsid w:val="002D605F"/>
    <w:rsid w:val="002E43FF"/>
    <w:rsid w:val="0069323F"/>
    <w:rsid w:val="006943EA"/>
    <w:rsid w:val="00771C88"/>
    <w:rsid w:val="007B31AE"/>
    <w:rsid w:val="00991A3E"/>
    <w:rsid w:val="00B307B6"/>
    <w:rsid w:val="00CE5D91"/>
    <w:rsid w:val="00FF565D"/>
    <w:rsid w:val="056A1C9B"/>
    <w:rsid w:val="07513C61"/>
    <w:rsid w:val="12D63A02"/>
    <w:rsid w:val="1C7017E3"/>
    <w:rsid w:val="30F93BF4"/>
    <w:rsid w:val="3AAE7714"/>
    <w:rsid w:val="40E1210B"/>
    <w:rsid w:val="427231EA"/>
    <w:rsid w:val="462008E0"/>
    <w:rsid w:val="575D0AED"/>
    <w:rsid w:val="60CA36D2"/>
    <w:rsid w:val="63D42874"/>
    <w:rsid w:val="65A230A5"/>
    <w:rsid w:val="6E307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rPr>
      <w:rFonts w:ascii="宋体" w:hAns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3888</Words>
  <Characters>3922</Characters>
  <Lines>139</Lines>
  <Paragraphs>124</Paragraphs>
  <TotalTime>21</TotalTime>
  <ScaleCrop>false</ScaleCrop>
  <LinksUpToDate>false</LinksUpToDate>
  <CharactersWithSpaces>4326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2025-02-17T00:49:00Z</dcterms:created>
  <dc:creator>admin</dc:creator>
  <cp:lastModifiedBy>王剑</cp:lastModifiedBy>
  <dcterms:modified xsi:type="dcterms:W3CDTF">2025-07-02T08:50:27Z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E54927BFE4C24E3299F6DC981A516079_13</vt:lpwstr>
  </property>
  <property fmtid="{D5CDD505-2E9C-101B-9397-08002B2CF9AE}" pid="4" name="KSOTemplateDocerSaveRecord">
    <vt:lpwstr>eyJoZGlkIjoiYjQ5ZWQ3NDZiNjY5NjI2MWE4NjI4NGNjMzE5YTc1YTIiLCJ1c2VySWQiOiIxNTU4MjgzNzYwIn0=</vt:lpwstr>
  </property>
</Properties>
</file>