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中电灌西盐场300MW渔光互补发电工程重庆电建标段集电线路、台北江苏鼎正有限公司315KVA变压器安装工程采购金具辅材项目采购金具辅材项目公开询价函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中电灌西盐场300MW渔光互补发电工程重庆电建标段集电线路、台北江苏鼎正有限公司315KVA变压器安装工程采购金具辅材项目采购金具辅材项目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25"/>
        <w:gridCol w:w="4662"/>
        <w:gridCol w:w="863"/>
        <w:gridCol w:w="812"/>
        <w:gridCol w:w="9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C20混凝土、长150mm、宽150mm、高度600mm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电缆中间接头标志桩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8B7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电缆警示带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53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1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0CE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 管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B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567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有机防火堵料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FS-ONE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2A5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无机防火涂料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A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9E9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防火包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C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22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铜芯聚氯乙烯绝缘120mm2导线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0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6F3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变压器绝缘护套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315KVA变压器高低压桩头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5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CC3A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D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4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A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5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3D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3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双头双帽螺栓-规格:m16,长度mm:,350mm,材质:钢,表面处理方式:镀锌,配螺母垫片:配螺母垫片,单头双头:双头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2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AE15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6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F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DD92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JKLGYJ-10KV-70/8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9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4001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9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5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0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E809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B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5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规格：DTL-70,电缆接线端子,铜铝过渡,70mm2,单孔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F4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9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2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规格：DTL-120,电缆接线端子,铜铝过渡,120mm2,单孔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0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00A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D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7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规格：DT-120,电缆接线端子,铜120mm2,单孔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B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B1B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规格：DT-240,铜,240mm2,单孔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9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C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08D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7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6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64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针式复合支柱型，型号：FPQ2-10/5.0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9C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B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E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F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D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5E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B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B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D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E149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F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异型铝并沟,型号：JBL-240/50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8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4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EE30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3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F0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6B0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7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6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F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D900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B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D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3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E7C5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B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A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0CA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7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7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97D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D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A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B40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9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A07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46B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JKLGYJ-10KV-50/8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E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6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C528D97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第1-7项为中电灌西盐场300MW渔光互补发电工程重庆电建标段集电线路安装工程，第8-32项为台北江苏鼎正有限公司315KVA变压器安装工程。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第1-7项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，第8-32项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</w:t>
      </w:r>
      <w:bookmarkStart w:id="5" w:name="_GoBack"/>
      <w:bookmarkEnd w:id="5"/>
      <w:r>
        <w:rPr>
          <w:rFonts w:hint="eastAsia" w:ascii="宋体" w:hAnsi="宋体" w:cs="宋体"/>
          <w:sz w:val="24"/>
        </w:rPr>
        <w:t>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96956.00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52EFD581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</w:t>
      </w:r>
      <w:r>
        <w:rPr>
          <w:rFonts w:hint="default" w:ascii="宋体" w:hAnsi="宋体" w:cs="宋体"/>
          <w:sz w:val="24"/>
          <w:lang w:val="en-US" w:eastAsia="zh-CN"/>
        </w:rPr>
        <w:t>王先生           电话：13739120321</w:t>
      </w:r>
    </w:p>
    <w:p w14:paraId="5EF88C5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45FE6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9E76BD3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370376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4319A3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2FBC074E"/>
    <w:rsid w:val="302108D5"/>
    <w:rsid w:val="30807B5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3F3703FB"/>
    <w:rsid w:val="3F636838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98521CD"/>
    <w:rsid w:val="4A242B72"/>
    <w:rsid w:val="4B2844F3"/>
    <w:rsid w:val="4B2B4CF5"/>
    <w:rsid w:val="4B5F0F48"/>
    <w:rsid w:val="4C114359"/>
    <w:rsid w:val="4DA5179B"/>
    <w:rsid w:val="4DD16AAC"/>
    <w:rsid w:val="4EA7160F"/>
    <w:rsid w:val="4F1807EC"/>
    <w:rsid w:val="4F6770A0"/>
    <w:rsid w:val="50140E89"/>
    <w:rsid w:val="51D72A7B"/>
    <w:rsid w:val="51E34706"/>
    <w:rsid w:val="53085880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8D2D38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B44B4E"/>
    <w:rsid w:val="71FD4A4D"/>
    <w:rsid w:val="72141A90"/>
    <w:rsid w:val="725256DA"/>
    <w:rsid w:val="72CF5403"/>
    <w:rsid w:val="73E7793A"/>
    <w:rsid w:val="74465FA5"/>
    <w:rsid w:val="748728B0"/>
    <w:rsid w:val="753B2405"/>
    <w:rsid w:val="755C23E6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3452</Words>
  <Characters>4035</Characters>
  <Lines>0</Lines>
  <Paragraphs>0</Paragraphs>
  <TotalTime>23</TotalTime>
  <ScaleCrop>false</ScaleCrop>
  <LinksUpToDate>false</LinksUpToDate>
  <CharactersWithSpaces>4544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2025-09-05T07:03:00Z</cp:lastPrinted>
  <dcterms:modified xsi:type="dcterms:W3CDTF">2026-01-09T06:47:15Z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