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B2B30">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p>
    <w:p w14:paraId="54ED7CAD">
      <w:pPr>
        <w:spacing w:line="360" w:lineRule="auto"/>
        <w:rPr>
          <w:b/>
          <w:color w:val="333333"/>
          <w:sz w:val="24"/>
          <w:szCs w:val="24"/>
        </w:rPr>
      </w:pPr>
      <w:r>
        <w:rPr>
          <w:rFonts w:hint="eastAsia"/>
          <w:b/>
          <w:color w:val="333333"/>
          <w:sz w:val="24"/>
          <w:szCs w:val="24"/>
        </w:rPr>
        <w:t>一、招标条件</w:t>
      </w:r>
    </w:p>
    <w:p w14:paraId="4EB16935">
      <w:pPr>
        <w:spacing w:line="360" w:lineRule="auto"/>
        <w:ind w:left="479" w:leftChars="228" w:firstLine="0" w:firstLineChars="0"/>
        <w:rPr>
          <w:rFonts w:hint="eastAsia"/>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技术服务中心35kV管港变、曹圩变保护装置及后台系统整体更新项目（二次）</w:t>
      </w:r>
    </w:p>
    <w:p w14:paraId="3395D4E9">
      <w:pPr>
        <w:spacing w:line="360" w:lineRule="auto"/>
        <w:ind w:left="479" w:leftChars="228" w:firstLine="0" w:firstLineChars="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物资-2026（内）    </w:t>
      </w:r>
    </w:p>
    <w:p w14:paraId="0FA456D7">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20859203">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20D6D89E">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2CB2A88F">
      <w:pPr>
        <w:spacing w:line="360" w:lineRule="auto"/>
        <w:rPr>
          <w:b/>
          <w:color w:val="333333"/>
          <w:sz w:val="24"/>
          <w:szCs w:val="24"/>
        </w:rPr>
      </w:pPr>
      <w:r>
        <w:rPr>
          <w:rFonts w:hint="eastAsia"/>
          <w:b/>
          <w:color w:val="333333"/>
          <w:sz w:val="24"/>
          <w:szCs w:val="24"/>
        </w:rPr>
        <w:t>二、项目概况</w:t>
      </w:r>
    </w:p>
    <w:p w14:paraId="7C52555C">
      <w:pPr>
        <w:spacing w:line="360" w:lineRule="auto"/>
        <w:ind w:firstLine="480" w:firstLineChars="200"/>
        <w:rPr>
          <w:rFonts w:hint="eastAsia"/>
          <w:color w:val="333333"/>
          <w:sz w:val="24"/>
          <w:szCs w:val="24"/>
          <w:lang w:eastAsia="zh-CN"/>
        </w:rPr>
      </w:pPr>
      <w:r>
        <w:rPr>
          <w:rFonts w:hint="eastAsia"/>
          <w:color w:val="333333"/>
          <w:sz w:val="24"/>
          <w:szCs w:val="24"/>
        </w:rPr>
        <w:t>1.项目名称：</w:t>
      </w:r>
      <w:r>
        <w:rPr>
          <w:rFonts w:hint="eastAsia"/>
          <w:color w:val="333333"/>
          <w:sz w:val="24"/>
          <w:szCs w:val="24"/>
          <w:lang w:eastAsia="zh-CN"/>
        </w:rPr>
        <w:t>技术服务中心35kV管港变、曹圩变保护装置及后台系统整体更新项目（二次）</w:t>
      </w:r>
    </w:p>
    <w:p w14:paraId="14441A9D">
      <w:pPr>
        <w:spacing w:line="360" w:lineRule="auto"/>
        <w:ind w:firstLine="480" w:firstLineChars="200"/>
        <w:rPr>
          <w:rFonts w:hint="default" w:eastAsia="宋体"/>
          <w:color w:val="333333"/>
          <w:sz w:val="24"/>
          <w:szCs w:val="24"/>
          <w:lang w:val="en-US" w:eastAsia="zh-CN"/>
        </w:rPr>
      </w:pPr>
      <w:r>
        <w:rPr>
          <w:rFonts w:hint="eastAsia"/>
          <w:color w:val="333333"/>
          <w:sz w:val="24"/>
          <w:szCs w:val="24"/>
        </w:rPr>
        <w:t>2.工程地点：</w:t>
      </w:r>
      <w:r>
        <w:rPr>
          <w:rFonts w:hint="eastAsia"/>
          <w:color w:val="333333"/>
          <w:sz w:val="24"/>
          <w:szCs w:val="24"/>
          <w:lang w:val="en-US" w:eastAsia="zh-CN"/>
        </w:rPr>
        <w:t>连云港市</w:t>
      </w:r>
    </w:p>
    <w:p w14:paraId="247E5942">
      <w:pPr>
        <w:spacing w:line="360" w:lineRule="auto"/>
        <w:ind w:firstLine="480" w:firstLineChars="200"/>
        <w:rPr>
          <w:color w:val="333333"/>
          <w:sz w:val="24"/>
          <w:szCs w:val="24"/>
        </w:rPr>
      </w:pPr>
      <w:r>
        <w:rPr>
          <w:rFonts w:hint="eastAsia"/>
          <w:color w:val="333333"/>
          <w:sz w:val="24"/>
          <w:szCs w:val="24"/>
        </w:rPr>
        <w:t>3.工程概况：</w:t>
      </w:r>
    </w:p>
    <w:p w14:paraId="5D433D3B">
      <w:pPr>
        <w:spacing w:line="360" w:lineRule="auto"/>
        <w:ind w:firstLine="480" w:firstLineChars="200"/>
        <w:rPr>
          <w:rFonts w:hint="eastAsia"/>
          <w:color w:val="333333"/>
          <w:sz w:val="24"/>
          <w:szCs w:val="24"/>
        </w:rPr>
      </w:pPr>
      <w:r>
        <w:rPr>
          <w:rFonts w:hint="eastAsia"/>
          <w:color w:val="333333"/>
          <w:sz w:val="24"/>
          <w:szCs w:val="24"/>
        </w:rPr>
        <w:t>该工程为</w:t>
      </w:r>
      <w:r>
        <w:rPr>
          <w:rFonts w:hint="eastAsia"/>
          <w:color w:val="333333"/>
          <w:sz w:val="24"/>
          <w:szCs w:val="24"/>
          <w:lang w:val="en-US" w:eastAsia="zh-CN"/>
        </w:rPr>
        <w:t>安装</w:t>
      </w:r>
      <w:r>
        <w:rPr>
          <w:rFonts w:hint="eastAsia"/>
          <w:color w:val="333333"/>
          <w:sz w:val="24"/>
          <w:szCs w:val="24"/>
        </w:rPr>
        <w:t>工程</w:t>
      </w:r>
      <w:r>
        <w:rPr>
          <w:rFonts w:hint="eastAsia"/>
          <w:color w:val="333333"/>
          <w:sz w:val="24"/>
          <w:szCs w:val="24"/>
          <w:lang w:eastAsia="zh-CN"/>
        </w:rPr>
        <w:t>（</w:t>
      </w:r>
      <w:r>
        <w:rPr>
          <w:rFonts w:hint="eastAsia"/>
          <w:b/>
          <w:bCs/>
          <w:color w:val="auto"/>
          <w:sz w:val="24"/>
          <w:szCs w:val="24"/>
          <w:highlight w:val="yellow"/>
          <w:lang w:val="en-US" w:eastAsia="zh-CN"/>
        </w:rPr>
        <w:t>包工包料，包含设备</w:t>
      </w:r>
      <w:r>
        <w:rPr>
          <w:rFonts w:hint="eastAsia"/>
          <w:color w:val="333333"/>
          <w:sz w:val="24"/>
          <w:szCs w:val="24"/>
          <w:lang w:eastAsia="zh-CN"/>
        </w:rPr>
        <w:t>）</w:t>
      </w:r>
      <w:r>
        <w:rPr>
          <w:rFonts w:hint="eastAsia"/>
          <w:color w:val="333333"/>
          <w:sz w:val="24"/>
          <w:szCs w:val="24"/>
        </w:rPr>
        <w:t>，位于</w:t>
      </w:r>
      <w:r>
        <w:rPr>
          <w:rFonts w:hint="eastAsia"/>
          <w:color w:val="333333"/>
          <w:sz w:val="24"/>
          <w:szCs w:val="24"/>
          <w:lang w:val="en-US" w:eastAsia="zh-CN"/>
        </w:rPr>
        <w:t>连云港市连云港市</w:t>
      </w:r>
      <w:r>
        <w:rPr>
          <w:rFonts w:hint="eastAsia"/>
          <w:color w:val="333333"/>
          <w:sz w:val="24"/>
          <w:szCs w:val="24"/>
        </w:rPr>
        <w:t>，工程主要内容：</w:t>
      </w:r>
    </w:p>
    <w:tbl>
      <w:tblPr>
        <w:tblStyle w:val="8"/>
        <w:tblW w:w="10400" w:type="dxa"/>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538"/>
        <w:gridCol w:w="925"/>
        <w:gridCol w:w="5725"/>
        <w:gridCol w:w="562"/>
        <w:gridCol w:w="688"/>
        <w:gridCol w:w="1425"/>
      </w:tblGrid>
      <w:tr w14:paraId="1AA1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1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34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5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1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F4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备   注</w:t>
            </w:r>
          </w:p>
        </w:tc>
      </w:tr>
      <w:tr w14:paraId="71BB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E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E61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曹圩变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35kV测控保护装置</w:t>
            </w:r>
          </w:p>
        </w:tc>
        <w:tc>
          <w:tcPr>
            <w:tcW w:w="5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1.功能：具备35kV线路的保护、测控、故障录波及通信功能。</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restart"/>
            <w:tcBorders>
              <w:top w:val="single" w:color="000000" w:sz="4" w:space="0"/>
              <w:left w:val="single" w:color="000000" w:sz="4" w:space="0"/>
              <w:right w:val="single" w:color="000000" w:sz="4" w:space="0"/>
            </w:tcBorders>
            <w:shd w:val="clear" w:color="auto" w:fill="auto"/>
            <w:vAlign w:val="center"/>
          </w:tcPr>
          <w:p w14:paraId="654512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1、保护装置品牌建议：南瑞、许继、四方、南自、长园深瑞，所有测控保护装置满足GB/T 14285-2023等标准；</w:t>
            </w:r>
          </w:p>
          <w:p w14:paraId="789740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2、厂家需要勘察现场，合理布局保护装置及屏柜；</w:t>
            </w:r>
          </w:p>
          <w:p w14:paraId="4FD337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3、针对现场已安装的防逆流装置进行屏柜孔位预留，方便利旧安装；</w:t>
            </w:r>
          </w:p>
          <w:p w14:paraId="76861E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4、调档装置型号需提前对接，满足现场变压器接入需求；</w:t>
            </w:r>
          </w:p>
          <w:p w14:paraId="04C2C0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5、根据各家设备运行条件，设备厂家需提供相应满足后台监控系统运行的通讯管理机或交换机；</w:t>
            </w:r>
          </w:p>
          <w:p w14:paraId="11C4AB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6、包含设备的就位安装（含所需辅材，如防火封堵，接线标号等）、控制电缆接线（控制电缆利旧，需整理重新标号）、后台监控系统安装、调试；</w:t>
            </w:r>
          </w:p>
          <w:p w14:paraId="32F167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7、项目完成后，交付技术文档清单（说明书、软件备份等），配合设计单位完善图纸；</w:t>
            </w:r>
          </w:p>
          <w:p w14:paraId="18D2B0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8、后台监控系统需要满足探针软件的安装需求；</w:t>
            </w:r>
          </w:p>
          <w:p w14:paraId="7B30CB2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9、合同签订后，产品设备的交付和安装需在35个自然日内完成。</w:t>
            </w:r>
          </w:p>
        </w:tc>
      </w:tr>
      <w:tr w14:paraId="2840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87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408C8">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3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主变测控保护装置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1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1.功能：涵盖主变差动保护、后备保护(复压过流、零序过流等)、非电量保护及测控功能。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2.接口：具备多路开入开出接点，支持主变本体非电量信号接入（瓦斯、温度、压力等）。</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B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34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vMerge w:val="continue"/>
            <w:tcBorders>
              <w:left w:val="single" w:color="000000" w:sz="4" w:space="0"/>
              <w:right w:val="single" w:color="000000" w:sz="4" w:space="0"/>
            </w:tcBorders>
            <w:shd w:val="clear" w:color="auto" w:fill="FFFFFF"/>
            <w:vAlign w:val="center"/>
          </w:tcPr>
          <w:p w14:paraId="2129D4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E3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C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DB53FA">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1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并列装置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B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1.功能：实现两段母线的自动准同期并列，具备电压、频率、相角差检测及合闸控制功能。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2.配置：含高精度同期检测模块、操作回路、失步检测及告警功能。</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auto"/>
            <w:vAlign w:val="center"/>
          </w:tcPr>
          <w:p w14:paraId="49B10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8A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9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6BC6B">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36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电容器保护测控装置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5B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1.功能：提供电容器组的过流、过压、欠压、不平衡电压（或电流）保护，以及测控功能。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2.配置：支持多组电容器组保护，具备谐波监测、投切控制及事件记录功能。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3.接口：具备遥信、遥测、遥控功能，适配电容器组的开关及互感器接口。</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9F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vMerge w:val="continue"/>
            <w:tcBorders>
              <w:left w:val="single" w:color="000000" w:sz="4" w:space="0"/>
              <w:right w:val="single" w:color="000000" w:sz="4" w:space="0"/>
            </w:tcBorders>
            <w:shd w:val="clear" w:color="auto" w:fill="FFFFFF"/>
            <w:vAlign w:val="center"/>
          </w:tcPr>
          <w:p w14:paraId="14D65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31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A2A2CF">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1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馈线保护测控装置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F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1.功能：实现馈线的过流、速断、零序过流保护，具备重合闸、备自投及完整测控功能。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2.配置：含交流采样、出口继电器及故障录波模块。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3.接口：多路开入开出，支持远方/就地切换操作，具备SOE事件记录。</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D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5" w:type="dxa"/>
            <w:vMerge w:val="continue"/>
            <w:tcBorders>
              <w:left w:val="single" w:color="000000" w:sz="4" w:space="0"/>
              <w:right w:val="single" w:color="000000" w:sz="4" w:space="0"/>
            </w:tcBorders>
            <w:shd w:val="clear" w:color="auto" w:fill="FFFFFF"/>
            <w:vAlign w:val="center"/>
          </w:tcPr>
          <w:p w14:paraId="133EED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D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A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AC546">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6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母联保护测控装置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8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1.功能：实现母联断路器的充电保护、过流保护、备自投逻辑及测控功能。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2.配置：支持母线电压、母联电流采集，具备失灵保护启动、联跳及闭锁功能。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3.接口：适配母联间隔的电流互感器、电压互感器及断路器操作回路。</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3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FFFFFF"/>
            <w:vAlign w:val="center"/>
          </w:tcPr>
          <w:p w14:paraId="2B83E6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EF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2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22CBF">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5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后台监控设备及软件系统</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18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1.软件：含实时监控软件、历史数据库、报表系统、图形组态、事件告警及故障分析模块。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2.功能：实现全站数据采集与处理、设备状态监视、远方控制、五防闭锁、报表生成。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3.通信：支持IEC 61850、IEC 104、Modbus等协议，与其他主流厂家设备可以兼容对接。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4.安防：与国网调度安防系统对接，满足探针软件的安装需求。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D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FFFFFF"/>
            <w:vAlign w:val="center"/>
          </w:tcPr>
          <w:p w14:paraId="11D7EE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BC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E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A659DC">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B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柜体及附件</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BD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1.材质：采用冷轧钢板，厚度≥2.0mm，表面喷塑处理，防护等级IP4X。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2.附件：含二次接线端子、电缆固定架、柜体信息铭牌及标识。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3.配置：出厂时预先安装测控保护装置，完成二次接线，根据现场需求，预留防逆流装置安装孔位和接线端子，预留电能质量装置接线端子，预留调档装置孔位。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6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A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vMerge w:val="continue"/>
            <w:tcBorders>
              <w:left w:val="single" w:color="000000" w:sz="4" w:space="0"/>
              <w:right w:val="single" w:color="000000" w:sz="4" w:space="0"/>
            </w:tcBorders>
            <w:shd w:val="clear" w:color="auto" w:fill="FFFFFF"/>
            <w:vAlign w:val="center"/>
          </w:tcPr>
          <w:p w14:paraId="5BB1E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2A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D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5DC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管港变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35kV测控保护装置</w:t>
            </w:r>
          </w:p>
        </w:tc>
        <w:tc>
          <w:tcPr>
            <w:tcW w:w="5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1.功能：具备35kV线路的保护、测控、故障录波及通信功能。</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auto"/>
            <w:vAlign w:val="center"/>
          </w:tcPr>
          <w:p w14:paraId="42B0A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20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11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76C10">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A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主变测控保护装置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52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1.功能：涵盖主变差动保护、后备保护(复压过流、零序过流等)、非电量保护及测控功能。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2.接口：具备多路开入开出接点，支持主变本体非电量信号接入（瓦斯、温度、压力等）。</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A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F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vMerge w:val="continue"/>
            <w:tcBorders>
              <w:left w:val="single" w:color="000000" w:sz="4" w:space="0"/>
              <w:right w:val="single" w:color="000000" w:sz="4" w:space="0"/>
            </w:tcBorders>
            <w:shd w:val="clear" w:color="auto" w:fill="FFFFFF"/>
            <w:vAlign w:val="center"/>
          </w:tcPr>
          <w:p w14:paraId="742E50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19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6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AEA97">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FD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并列装置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D3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1.功能：实现两段母线的自动准同期并列，具备电压、频率、相角差检测及合闸控制功能。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2.配置：含高精度同期检测模块、操作回路、失步检测及告警功能。</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E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4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auto"/>
            <w:vAlign w:val="center"/>
          </w:tcPr>
          <w:p w14:paraId="16EAF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E5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D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29B84">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电容器保护测控装置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1C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1.功能：提供电容器组的过流、过压、欠压、不平衡电压（或电流）保护，以及测控功能。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2.配置：支持多组电容器组保护，具备谐波监测、投切控制及事件记录功能。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3.接口：具备遥信、遥测、遥控功能，适配电容器组的开关及互感器接口。</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B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4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vMerge w:val="continue"/>
            <w:tcBorders>
              <w:left w:val="single" w:color="000000" w:sz="4" w:space="0"/>
              <w:right w:val="single" w:color="000000" w:sz="4" w:space="0"/>
            </w:tcBorders>
            <w:shd w:val="clear" w:color="auto" w:fill="FFFFFF"/>
            <w:vAlign w:val="center"/>
          </w:tcPr>
          <w:p w14:paraId="247A2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B3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F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AEB2B6">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馈线保护测控装置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6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1.功能：实现馈线的过流、速断、零序过流保护，具备重合闸、备自投及完整测控功能。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2.配置：含交流采样、出口继电器及故障录波模块。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3.接口：多路开入开出，支持远方/就地切换操作，具备SOE事件记录。</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90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vMerge w:val="continue"/>
            <w:tcBorders>
              <w:left w:val="single" w:color="000000" w:sz="4" w:space="0"/>
              <w:right w:val="single" w:color="000000" w:sz="4" w:space="0"/>
            </w:tcBorders>
            <w:shd w:val="clear" w:color="auto" w:fill="FFFFFF"/>
            <w:vAlign w:val="center"/>
          </w:tcPr>
          <w:p w14:paraId="62140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BD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3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164F2">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9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母联保护测控装置</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0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1.功能：实现母联断路器的充电保护、过流保护、备自投逻辑及测控功能。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2.配置：支持母线电压、母联电流采集，具备失灵保护启动、联跳及闭锁功能。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3.接口：适配母联间隔的电流互感器、电压互感器及断路器操作回路。</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D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8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FFFFFF"/>
            <w:vAlign w:val="center"/>
          </w:tcPr>
          <w:p w14:paraId="7B4112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A9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3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D4239A">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B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后台监控设备及软件系统</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F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1.软件：含实时监控软件、历史数据库、报表系统、图形组态、事件告警及故障分析模块。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2.功能：实现全站数据采集与处理、设备状态监视、远方控制、五防闭锁、报表生成。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3.通信：支持IEC 61850、IEC 104、Modbus等协议，与其他主流厂家设备可以兼容对接。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4.安防：与国网调度安防系统对接，满足探针软件的安装需求。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C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right w:val="single" w:color="000000" w:sz="4" w:space="0"/>
            </w:tcBorders>
            <w:shd w:val="clear" w:color="auto" w:fill="FFFFFF"/>
            <w:vAlign w:val="center"/>
          </w:tcPr>
          <w:p w14:paraId="2A91A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19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7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C456C5">
            <w:pPr>
              <w:jc w:val="center"/>
              <w:rPr>
                <w:rFonts w:hint="eastAsia" w:ascii="宋体" w:hAnsi="宋体" w:eastAsia="宋体" w:cs="宋体"/>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B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柜体及附件</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F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1.材质：采用冷轧钢板，厚度≥2.0mm，表面喷塑处理，防护等级IP4X。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2.附件：含二次接线端子、电缆固定架、柜体信息铭牌及标识。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3.配置：出厂时预先安装测控保护装置，完成二次接线，根据现场需求，预留调档装置孔位。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vMerge w:val="continue"/>
            <w:tcBorders>
              <w:left w:val="single" w:color="000000" w:sz="4" w:space="0"/>
              <w:right w:val="single" w:color="000000" w:sz="4" w:space="0"/>
            </w:tcBorders>
            <w:shd w:val="clear" w:color="auto" w:fill="FFFFFF"/>
            <w:vAlign w:val="center"/>
          </w:tcPr>
          <w:p w14:paraId="0B7418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B5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31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调控中心</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6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后台监控设备及软件系统</w:t>
            </w:r>
          </w:p>
        </w:tc>
        <w:tc>
          <w:tcPr>
            <w:tcW w:w="5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2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1.软件：含实时监控软件、历史数据库、报表系统、图形组态、事件告警及故障分析模块。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2.功能：实现全站数据采集与处理、设备状态监视、远方控制、五防闭锁、报表生成。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3.通信：支持IEC 61850、IEC 104、Modbus等协议，与其他主流厂家设备可以兼容对接。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4.安防：与国网调度安防系统对接，满足探针软件的安装需求。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3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3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vMerge w:val="continue"/>
            <w:tcBorders>
              <w:left w:val="single" w:color="000000" w:sz="4" w:space="0"/>
              <w:bottom w:val="single" w:color="000000" w:sz="4" w:space="0"/>
              <w:right w:val="single" w:color="000000" w:sz="4" w:space="0"/>
            </w:tcBorders>
            <w:shd w:val="clear" w:color="auto" w:fill="FFFFFF"/>
            <w:vAlign w:val="center"/>
          </w:tcPr>
          <w:p w14:paraId="65A1A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E7D2C2D">
      <w:pPr>
        <w:pStyle w:val="2"/>
        <w:spacing w:after="0"/>
        <w:ind w:left="0" w:leftChars="0" w:firstLine="0" w:firstLineChars="0"/>
        <w:rPr>
          <w:rFonts w:hint="eastAsia"/>
        </w:rPr>
      </w:pPr>
    </w:p>
    <w:p w14:paraId="5C0385FE">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其中：安全文明施工费中基本费费率为3.1%；扬尘污染防治增加费为0.31%；规费中社会保险费费率为3.2%、住房公积金费率为0.53%、税金费率为9% 。</w:t>
      </w:r>
    </w:p>
    <w:p w14:paraId="31266050">
      <w:pPr>
        <w:spacing w:line="360" w:lineRule="auto"/>
        <w:ind w:firstLine="480" w:firstLineChars="200"/>
        <w:rPr>
          <w:color w:val="333333"/>
          <w:sz w:val="24"/>
          <w:szCs w:val="24"/>
        </w:rPr>
      </w:pPr>
      <w:r>
        <w:rPr>
          <w:rFonts w:hint="eastAsia"/>
          <w:color w:val="333333"/>
          <w:sz w:val="24"/>
          <w:szCs w:val="24"/>
        </w:rPr>
        <w:t>4.计划工期：</w:t>
      </w:r>
    </w:p>
    <w:p w14:paraId="7DAB612B">
      <w:pPr>
        <w:spacing w:line="360" w:lineRule="auto"/>
        <w:ind w:firstLine="480" w:firstLineChars="200"/>
        <w:rPr>
          <w:color w:val="333333"/>
          <w:sz w:val="24"/>
          <w:szCs w:val="24"/>
        </w:rPr>
      </w:pPr>
      <w:r>
        <w:rPr>
          <w:rFonts w:hint="eastAsia"/>
          <w:color w:val="333333"/>
          <w:sz w:val="24"/>
          <w:szCs w:val="24"/>
        </w:rPr>
        <w:t>合同签订后，产品设备的交付和安装需在35个自然日内完成</w:t>
      </w:r>
      <w:r>
        <w:rPr>
          <w:rFonts w:hint="eastAsia"/>
          <w:color w:val="333333"/>
          <w:sz w:val="24"/>
          <w:szCs w:val="24"/>
          <w:lang w:eastAsia="zh-CN"/>
        </w:rPr>
        <w:t>，</w:t>
      </w:r>
      <w:r>
        <w:rPr>
          <w:rFonts w:hint="eastAsia"/>
          <w:color w:val="333333"/>
          <w:sz w:val="24"/>
          <w:szCs w:val="24"/>
        </w:rPr>
        <w:t>中标人签订合同后按照工期要求组织进场施工。</w:t>
      </w:r>
    </w:p>
    <w:p w14:paraId="21F860B4">
      <w:pPr>
        <w:spacing w:line="360" w:lineRule="auto"/>
        <w:ind w:firstLine="480" w:firstLineChars="200"/>
        <w:rPr>
          <w:color w:val="333333"/>
          <w:sz w:val="24"/>
          <w:szCs w:val="24"/>
        </w:rPr>
      </w:pPr>
      <w:r>
        <w:rPr>
          <w:rFonts w:hint="eastAsia"/>
          <w:color w:val="333333"/>
          <w:sz w:val="24"/>
          <w:szCs w:val="24"/>
        </w:rPr>
        <w:t>5.质量要求：合格，正式送电并交付使用。</w:t>
      </w:r>
    </w:p>
    <w:p w14:paraId="05F2C8A2">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470000.00</w:t>
      </w:r>
      <w:r>
        <w:rPr>
          <w:rFonts w:hint="eastAsia"/>
          <w:color w:val="333333"/>
          <w:sz w:val="24"/>
          <w:szCs w:val="24"/>
        </w:rPr>
        <w:t>元。（超出限价视作无效标处理）。</w:t>
      </w:r>
    </w:p>
    <w:p w14:paraId="6F826B69">
      <w:pPr>
        <w:pStyle w:val="2"/>
        <w:spacing w:after="0" w:line="360" w:lineRule="auto"/>
        <w:ind w:left="0" w:leftChars="0" w:firstLine="480"/>
        <w:rPr>
          <w:color w:val="333333"/>
          <w:sz w:val="24"/>
        </w:rPr>
      </w:pPr>
      <w:r>
        <w:rPr>
          <w:rFonts w:hint="eastAsia"/>
          <w:color w:val="333333"/>
          <w:sz w:val="24"/>
        </w:rPr>
        <w:t>7.合同形式：本工程采用固定单价合同。</w:t>
      </w:r>
    </w:p>
    <w:p w14:paraId="5D428C35">
      <w:pPr>
        <w:spacing w:line="360" w:lineRule="auto"/>
        <w:rPr>
          <w:b/>
          <w:color w:val="333333"/>
          <w:sz w:val="24"/>
          <w:szCs w:val="24"/>
        </w:rPr>
      </w:pPr>
      <w:r>
        <w:rPr>
          <w:rFonts w:hint="eastAsia"/>
          <w:b/>
          <w:color w:val="333333"/>
          <w:sz w:val="24"/>
          <w:szCs w:val="24"/>
        </w:rPr>
        <w:t>三、投标人的资格要求：</w:t>
      </w:r>
    </w:p>
    <w:p w14:paraId="068597E6">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695F8CDD">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0270EC35">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2025年内三个月</w:t>
      </w:r>
      <w:r>
        <w:rPr>
          <w:rFonts w:hint="eastAsia"/>
          <w:color w:val="333333"/>
          <w:sz w:val="24"/>
          <w:szCs w:val="24"/>
          <w:highlight w:val="none"/>
          <w:lang w:eastAsia="zh-CN"/>
        </w:rPr>
        <w:t>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32164027">
      <w:pPr>
        <w:pStyle w:val="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40</w:t>
      </w:r>
      <w:r>
        <w:rPr>
          <w:rFonts w:hint="eastAsia"/>
          <w:color w:val="333333"/>
          <w:sz w:val="24"/>
          <w:szCs w:val="24"/>
          <w:highlight w:val="none"/>
          <w:lang w:eastAsia="zh-CN"/>
        </w:rPr>
        <w:t>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2817C881">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0820B7A8">
      <w:pPr>
        <w:spacing w:line="360" w:lineRule="auto"/>
        <w:ind w:firstLine="480" w:firstLineChars="200"/>
        <w:rPr>
          <w:rFonts w:hint="default" w:ascii="Times New Roman" w:hAnsi="Times New Roman" w:eastAsia="宋体" w:cs="Times New Roman"/>
          <w:color w:val="333333"/>
          <w:sz w:val="24"/>
          <w:szCs w:val="24"/>
          <w:lang w:val="en-US" w:eastAsia="zh-CN"/>
        </w:rPr>
      </w:pPr>
      <w:r>
        <w:rPr>
          <w:color w:val="333333"/>
          <w:sz w:val="24"/>
          <w:szCs w:val="24"/>
        </w:rPr>
        <w:t>6.</w:t>
      </w:r>
      <w:r>
        <w:rPr>
          <w:rFonts w:hint="eastAsia"/>
          <w:color w:val="333333"/>
          <w:sz w:val="24"/>
          <w:szCs w:val="24"/>
        </w:rPr>
        <w:t>投标人具备建设行政主管部门核发有效的电力工程施工总承包三级以上资质（含三级）或具有输变电工程专业承包三级以上资质（含三级），</w:t>
      </w:r>
      <w:r>
        <w:rPr>
          <w:rFonts w:hint="eastAsia"/>
          <w:color w:val="333333"/>
          <w:sz w:val="24"/>
          <w:szCs w:val="24"/>
          <w:lang w:eastAsia="zh-CN"/>
        </w:rPr>
        <w:t>同时具有有效的三级以上资质（含三级）承装（修、试）电力设施许可证</w:t>
      </w:r>
      <w:r>
        <w:rPr>
          <w:rFonts w:hint="eastAsia"/>
          <w:color w:val="333333"/>
          <w:sz w:val="24"/>
          <w:szCs w:val="24"/>
        </w:rPr>
        <w:t>，具有省、部级建设行政主管部门颁发的安全生产许可证，具备二级及以上机电工程专业注册建造师资格、安全生产考核合格证（B类），具备现场专职安全员（C类）。（证书均在有效期内，建造师及安全员需提供</w:t>
      </w:r>
      <w:r>
        <w:rPr>
          <w:rFonts w:hint="eastAsia"/>
          <w:color w:val="333333"/>
          <w:sz w:val="24"/>
          <w:szCs w:val="24"/>
          <w:lang w:eastAsia="zh-CN"/>
        </w:rPr>
        <w:t>2025年07月-202</w:t>
      </w:r>
      <w:r>
        <w:rPr>
          <w:rFonts w:hint="eastAsia"/>
          <w:color w:val="333333"/>
          <w:sz w:val="24"/>
          <w:szCs w:val="24"/>
          <w:lang w:val="en-US" w:eastAsia="zh-CN"/>
        </w:rPr>
        <w:t>5</w:t>
      </w:r>
      <w:r>
        <w:rPr>
          <w:rFonts w:hint="eastAsia"/>
          <w:color w:val="333333"/>
          <w:sz w:val="24"/>
          <w:szCs w:val="24"/>
          <w:lang w:eastAsia="zh-CN"/>
        </w:rPr>
        <w:t>年12月</w:t>
      </w:r>
      <w:r>
        <w:rPr>
          <w:rFonts w:hint="eastAsia"/>
          <w:color w:val="333333"/>
          <w:sz w:val="24"/>
          <w:szCs w:val="24"/>
        </w:rPr>
        <w:t>社保缴纳证明）</w:t>
      </w:r>
    </w:p>
    <w:p w14:paraId="77F17E03">
      <w:pPr>
        <w:spacing w:line="360" w:lineRule="auto"/>
        <w:ind w:firstLine="480" w:firstLineChars="200"/>
        <w:rPr>
          <w:rFonts w:ascii="Times New Roman" w:hAnsi="Times New Roman" w:eastAsia="宋体" w:cs="Times New Roman"/>
          <w:color w:val="333333"/>
          <w:sz w:val="24"/>
          <w:szCs w:val="24"/>
        </w:rPr>
      </w:pPr>
      <w:r>
        <w:rPr>
          <w:rFonts w:ascii="Times New Roman" w:hAnsi="Times New Roman" w:eastAsia="宋体" w:cs="Times New Roman"/>
          <w:color w:val="333333"/>
          <w:sz w:val="24"/>
          <w:szCs w:val="24"/>
        </w:rPr>
        <w:t xml:space="preserve">7. </w:t>
      </w:r>
      <w:r>
        <w:rPr>
          <w:rFonts w:hint="eastAsia" w:ascii="Times New Roman" w:hAnsi="Times New Roman" w:eastAsia="宋体" w:cs="Times New Roman"/>
          <w:color w:val="333333"/>
          <w:sz w:val="24"/>
          <w:szCs w:val="24"/>
        </w:rPr>
        <w:t>本项目不接受联合体投标。</w:t>
      </w:r>
    </w:p>
    <w:p w14:paraId="134EF796">
      <w:pPr>
        <w:spacing w:line="360" w:lineRule="auto"/>
        <w:rPr>
          <w:b/>
          <w:color w:val="333333"/>
          <w:sz w:val="24"/>
          <w:szCs w:val="24"/>
        </w:rPr>
      </w:pPr>
      <w:r>
        <w:rPr>
          <w:rFonts w:hint="eastAsia"/>
          <w:b/>
          <w:color w:val="333333"/>
          <w:sz w:val="24"/>
          <w:szCs w:val="24"/>
        </w:rPr>
        <w:t>四、获取招标文件</w:t>
      </w:r>
    </w:p>
    <w:p w14:paraId="6BDE109D">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2026年0</w:t>
      </w:r>
      <w:r>
        <w:rPr>
          <w:rFonts w:hint="eastAsia"/>
          <w:color w:val="333333"/>
          <w:sz w:val="24"/>
          <w:szCs w:val="24"/>
          <w:lang w:val="en-US" w:eastAsia="zh-CN"/>
        </w:rPr>
        <w:t>2</w:t>
      </w:r>
      <w:r>
        <w:rPr>
          <w:rFonts w:hint="eastAsia"/>
          <w:color w:val="333333"/>
          <w:sz w:val="24"/>
          <w:szCs w:val="24"/>
          <w:lang w:eastAsia="zh-CN"/>
        </w:rPr>
        <w:t>月</w:t>
      </w:r>
      <w:r>
        <w:rPr>
          <w:rFonts w:hint="eastAsia"/>
          <w:color w:val="333333"/>
          <w:sz w:val="24"/>
          <w:szCs w:val="24"/>
          <w:lang w:val="en-US" w:eastAsia="zh-CN"/>
        </w:rPr>
        <w:t>24</w:t>
      </w:r>
      <w:r>
        <w:rPr>
          <w:rFonts w:hint="eastAsia"/>
          <w:color w:val="333333"/>
          <w:sz w:val="24"/>
          <w:szCs w:val="24"/>
          <w:lang w:eastAsia="zh-CN"/>
        </w:rPr>
        <w:t>日</w:t>
      </w:r>
      <w:r>
        <w:rPr>
          <w:rFonts w:hint="eastAsia"/>
          <w:color w:val="333333"/>
          <w:sz w:val="24"/>
          <w:szCs w:val="24"/>
          <w:lang w:val="en-US" w:eastAsia="zh-CN"/>
        </w:rPr>
        <w:t>至2026年02月28日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5C17AF34">
      <w:pPr>
        <w:spacing w:line="360" w:lineRule="auto"/>
        <w:rPr>
          <w:b/>
          <w:color w:val="333333"/>
          <w:sz w:val="24"/>
          <w:szCs w:val="24"/>
        </w:rPr>
      </w:pPr>
      <w:r>
        <w:rPr>
          <w:rFonts w:hint="eastAsia"/>
          <w:b/>
          <w:color w:val="333333"/>
          <w:sz w:val="24"/>
          <w:szCs w:val="24"/>
        </w:rPr>
        <w:t>五、提交投标文件截止时间、开标时间和地点</w:t>
      </w:r>
    </w:p>
    <w:p w14:paraId="78D59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2026年0</w:t>
      </w:r>
      <w:r>
        <w:rPr>
          <w:rFonts w:hint="eastAsia"/>
          <w:color w:val="333333"/>
          <w:sz w:val="24"/>
          <w:szCs w:val="24"/>
          <w:lang w:val="en-US" w:eastAsia="zh-CN"/>
        </w:rPr>
        <w:t>3</w:t>
      </w:r>
      <w:r>
        <w:rPr>
          <w:rFonts w:hint="eastAsia"/>
          <w:color w:val="333333"/>
          <w:sz w:val="24"/>
          <w:szCs w:val="24"/>
          <w:lang w:eastAsia="zh-CN"/>
        </w:rPr>
        <w:t>月</w:t>
      </w:r>
      <w:r>
        <w:rPr>
          <w:rFonts w:hint="eastAsia"/>
          <w:color w:val="333333"/>
          <w:sz w:val="24"/>
          <w:szCs w:val="24"/>
          <w:lang w:val="en-US" w:eastAsia="zh-CN"/>
        </w:rPr>
        <w:t>06</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DBF23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5F90C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7ACED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4AE7D3A6">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495DA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16EFF579">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10E4566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w:t>
      </w:r>
      <w:r>
        <w:rPr>
          <w:rFonts w:hint="eastAsia"/>
          <w:color w:val="333333"/>
          <w:kern w:val="2"/>
          <w:sz w:val="24"/>
          <w:highlight w:val="yellow"/>
          <w:lang w:val="en-US" w:eastAsia="zh-CN"/>
        </w:rPr>
        <w:t>最低价法</w:t>
      </w:r>
      <w:r>
        <w:rPr>
          <w:rFonts w:hint="eastAsia" w:cs="Times New Roman"/>
          <w:color w:val="333333"/>
          <w:kern w:val="2"/>
          <w:sz w:val="24"/>
          <w:szCs w:val="24"/>
          <w:lang w:val="en-US" w:eastAsia="zh-CN" w:bidi="ar-SA"/>
        </w:rPr>
        <w:t>。</w:t>
      </w:r>
    </w:p>
    <w:p w14:paraId="19AE9B3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6DB24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14:paraId="34837CD8">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76CA8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20492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28239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175A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玖仟元整</w:t>
      </w:r>
      <w:r>
        <w:rPr>
          <w:rFonts w:hint="eastAsia"/>
          <w:color w:val="333333"/>
          <w:sz w:val="24"/>
          <w:szCs w:val="24"/>
        </w:rPr>
        <w:t>（￥</w:t>
      </w:r>
      <w:r>
        <w:rPr>
          <w:rFonts w:hint="eastAsia"/>
          <w:color w:val="333333"/>
          <w:sz w:val="24"/>
          <w:szCs w:val="24"/>
          <w:lang w:val="en-US" w:eastAsia="zh-CN"/>
        </w:rPr>
        <w:t>9000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144ED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5D0B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5A745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7BDB93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8829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581F7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779C7545">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67FC5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370D5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41525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42AE2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高女士    </w:t>
      </w:r>
    </w:p>
    <w:p w14:paraId="5888B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话：19</w:t>
      </w:r>
      <w:r>
        <w:rPr>
          <w:rFonts w:hint="eastAsia"/>
          <w:color w:val="333333"/>
          <w:sz w:val="24"/>
          <w:szCs w:val="24"/>
          <w:lang w:val="en-US" w:eastAsia="zh-CN"/>
        </w:rPr>
        <w:t>305123006</w:t>
      </w:r>
      <w:r>
        <w:rPr>
          <w:rFonts w:hint="eastAsia"/>
          <w:color w:val="333333"/>
          <w:sz w:val="24"/>
          <w:szCs w:val="24"/>
        </w:rPr>
        <w:t xml:space="preserve">   </w:t>
      </w:r>
    </w:p>
    <w:p w14:paraId="557C7C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71A9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40AA5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E605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许先生    </w:t>
      </w:r>
    </w:p>
    <w:p w14:paraId="27ACBB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话：18115867321           </w:t>
      </w:r>
    </w:p>
    <w:p w14:paraId="48858D93">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78B95BFF">
      <w:pPr>
        <w:ind w:left="283" w:leftChars="135"/>
        <w:jc w:val="right"/>
        <w:rPr>
          <w:rFonts w:hint="eastAsia"/>
          <w:color w:val="333333"/>
          <w:sz w:val="24"/>
          <w:szCs w:val="24"/>
          <w:lang w:eastAsia="zh-CN"/>
        </w:rPr>
      </w:pPr>
    </w:p>
    <w:p w14:paraId="6688314F">
      <w:r>
        <w:rPr>
          <w:rFonts w:hint="eastAsia"/>
          <w:color w:val="333333"/>
          <w:sz w:val="24"/>
          <w:szCs w:val="24"/>
          <w:lang w:eastAsia="zh-CN"/>
        </w:rPr>
        <w:t>2026年0</w:t>
      </w:r>
      <w:r>
        <w:rPr>
          <w:rFonts w:hint="eastAsia"/>
          <w:color w:val="333333"/>
          <w:sz w:val="24"/>
          <w:szCs w:val="24"/>
          <w:lang w:val="en-US" w:eastAsia="zh-CN"/>
        </w:rPr>
        <w:t>2</w:t>
      </w:r>
      <w:r>
        <w:rPr>
          <w:rFonts w:hint="eastAsia"/>
          <w:color w:val="333333"/>
          <w:sz w:val="24"/>
          <w:szCs w:val="24"/>
          <w:lang w:eastAsia="zh-CN"/>
        </w:rPr>
        <w:t>月</w:t>
      </w:r>
      <w:r>
        <w:rPr>
          <w:rFonts w:hint="eastAsia"/>
          <w:color w:val="333333"/>
          <w:sz w:val="24"/>
          <w:szCs w:val="24"/>
          <w:lang w:val="en-US" w:eastAsia="zh-CN"/>
        </w:rPr>
        <w:t>24</w:t>
      </w:r>
      <w:r>
        <w:rPr>
          <w:rFonts w:hint="eastAsia"/>
          <w:color w:val="333333"/>
          <w:sz w:val="24"/>
          <w:szCs w:val="24"/>
          <w:lang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000000"/>
    <w:rsid w:val="0DD8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pPr>
    <w:rPr>
      <w:rFonts w:hint="eastAsia" w:ascii="Arial" w:hAnsi="Arial" w:cs="Arial"/>
      <w:szCs w:val="24"/>
    </w:rPr>
  </w:style>
  <w:style w:type="paragraph" w:styleId="5">
    <w:name w:val="annotation text"/>
    <w:basedOn w:val="1"/>
    <w:unhideWhenUsed/>
    <w:qFormat/>
    <w:uiPriority w:val="0"/>
    <w:pPr>
      <w:jc w:val="left"/>
    </w:pPr>
    <w:rPr>
      <w:rFonts w:ascii="Calibri" w:hAnsi="Calibri"/>
      <w:kern w:val="0"/>
      <w:sz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2026-02-24T08:17:22Z</dcterms:created>
  <dc:creator>Administrator</dc:creator>
  <cp:lastModifiedBy>木木</cp:lastModifiedBy>
  <dcterms:modified xsi:type="dcterms:W3CDTF">2026-02-24T08:17:27Z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157D930993AD4F13969464068A6459C8_12</vt:lpwstr>
  </property>
</Properties>
</file>