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B91DF">
      <w:pPr>
        <w:spacing w:line="360" w:lineRule="auto"/>
        <w:jc w:val="center"/>
        <w:rPr>
          <w:rFonts w:hint="eastAsia" w:ascii="宋体" w:hAnsi="宋体"/>
          <w:sz w:val="24"/>
        </w:rPr>
      </w:pPr>
      <w:r>
        <w:rPr>
          <w:rFonts w:hint="eastAsia" w:ascii="宋体"/>
          <w:b/>
          <w:bCs/>
          <w:sz w:val="36"/>
          <w:szCs w:val="36"/>
        </w:rPr>
        <w:t>订购合同</w:t>
      </w:r>
      <w:r>
        <w:rPr>
          <w:rFonts w:hint="eastAsia" w:ascii="宋体" w:hAnsi="宋体"/>
          <w:sz w:val="24"/>
        </w:rPr>
        <w:t xml:space="preserve"> </w:t>
      </w:r>
    </w:p>
    <w:p w14:paraId="68C88B41">
      <w:pPr>
        <w:spacing w:line="360" w:lineRule="auto"/>
        <w:jc w:val="center"/>
        <w:rPr>
          <w:rFonts w:hint="eastAsia" w:ascii="宋体"/>
          <w:b/>
          <w:bCs/>
          <w:sz w:val="36"/>
          <w:szCs w:val="36"/>
        </w:rPr>
      </w:pPr>
      <w:r>
        <w:rPr>
          <w:rFonts w:hint="eastAsia" w:ascii="宋体" w:hAnsi="宋体"/>
          <w:sz w:val="24"/>
          <w:lang w:val="en-US" w:eastAsia="zh-CN"/>
        </w:rPr>
        <w:t xml:space="preserve">                                        </w:t>
      </w:r>
      <w:r>
        <w:rPr>
          <w:rFonts w:hint="eastAsia" w:ascii="宋体" w:hAnsi="宋体"/>
          <w:sz w:val="24"/>
        </w:rPr>
        <w:t>合同编号：</w:t>
      </w:r>
    </w:p>
    <w:p w14:paraId="5C356029">
      <w:pPr>
        <w:spacing w:line="360" w:lineRule="auto"/>
        <w:rPr>
          <w:rFonts w:ascii="宋体" w:hAnsi="宋体"/>
          <w:sz w:val="24"/>
          <w:u w:val="single"/>
        </w:rPr>
      </w:pPr>
      <w:r>
        <w:rPr>
          <w:rFonts w:hint="eastAsia" w:ascii="宋体" w:hAnsi="宋体"/>
          <w:sz w:val="24"/>
        </w:rPr>
        <w:t>甲方（</w:t>
      </w:r>
      <w:r>
        <w:rPr>
          <w:rFonts w:hint="eastAsia" w:ascii="宋体" w:hAnsi="宋体"/>
          <w:sz w:val="24"/>
          <w:lang w:eastAsia="zh-CN"/>
        </w:rPr>
        <w:t>购买方</w:t>
      </w:r>
      <w:r>
        <w:rPr>
          <w:rFonts w:hint="eastAsia" w:ascii="宋体" w:hAnsi="宋体"/>
          <w:sz w:val="24"/>
        </w:rPr>
        <w:t>）：</w:t>
      </w:r>
      <w:r>
        <w:rPr>
          <w:rFonts w:hint="eastAsia" w:ascii="宋体" w:hAnsi="宋体"/>
          <w:sz w:val="24"/>
          <w:u w:val="single"/>
        </w:rPr>
        <w:t xml:space="preserve">连云港市工投集团青口投资有限公司 </w:t>
      </w:r>
      <w:r>
        <w:rPr>
          <w:rFonts w:hint="eastAsia" w:ascii="宋体" w:hAnsi="宋体"/>
          <w:sz w:val="24"/>
        </w:rPr>
        <w:t xml:space="preserve">     </w:t>
      </w:r>
    </w:p>
    <w:p w14:paraId="2183E0CF">
      <w:pPr>
        <w:spacing w:line="360" w:lineRule="auto"/>
        <w:rPr>
          <w:rFonts w:ascii="宋体" w:hAnsi="宋体" w:cs="宋体"/>
          <w:sz w:val="24"/>
        </w:rPr>
      </w:pPr>
      <w:r>
        <w:rPr>
          <w:rFonts w:hint="eastAsia" w:ascii="宋体" w:hAnsi="宋体"/>
          <w:sz w:val="24"/>
        </w:rPr>
        <w:t>乙方（</w:t>
      </w:r>
      <w:r>
        <w:rPr>
          <w:rFonts w:hint="eastAsia" w:ascii="宋体" w:hAnsi="宋体"/>
          <w:sz w:val="24"/>
          <w:lang w:eastAsia="zh-CN"/>
        </w:rPr>
        <w:t>供货方</w:t>
      </w:r>
      <w:r>
        <w:rPr>
          <w:rFonts w:hint="eastAsia" w:ascii="宋体" w:hAnsi="宋体"/>
          <w:sz w:val="24"/>
        </w:rPr>
        <w:t>）：</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41A52314">
      <w:pPr>
        <w:spacing w:line="360" w:lineRule="auto"/>
        <w:ind w:firstLine="480" w:firstLineChars="200"/>
        <w:rPr>
          <w:rFonts w:hint="eastAsia" w:ascii="宋体" w:hAnsi="宋体"/>
          <w:sz w:val="24"/>
        </w:rPr>
      </w:pPr>
      <w:r>
        <w:rPr>
          <w:rFonts w:hint="eastAsia" w:ascii="宋体" w:hAnsi="宋体"/>
          <w:sz w:val="24"/>
        </w:rPr>
        <w:t>根据《中华人民共和国民法典》、《中华人民共和国消费者权益保护法》及其他有关法律、法规的规定，本着公平、诚信的原则，经甲乙双方协商一致，签订本合同，以资共同信守。</w:t>
      </w:r>
    </w:p>
    <w:p w14:paraId="3B9A0142">
      <w:pPr>
        <w:spacing w:line="360" w:lineRule="auto"/>
        <w:ind w:firstLine="480" w:firstLineChars="200"/>
        <w:rPr>
          <w:rFonts w:hint="eastAsia" w:ascii="宋体" w:hAnsi="宋体"/>
          <w:sz w:val="24"/>
        </w:rPr>
      </w:pPr>
      <w:r>
        <w:rPr>
          <w:rFonts w:hint="eastAsia" w:ascii="宋体" w:hAnsi="宋体"/>
          <w:sz w:val="24"/>
        </w:rPr>
        <w:t>一、数量及金额：</w:t>
      </w:r>
    </w:p>
    <w:tbl>
      <w:tblPr>
        <w:tblStyle w:val="6"/>
        <w:tblW w:w="895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25"/>
        <w:gridCol w:w="1887"/>
        <w:gridCol w:w="948"/>
        <w:gridCol w:w="1125"/>
        <w:gridCol w:w="1590"/>
        <w:gridCol w:w="1560"/>
      </w:tblGrid>
      <w:tr w14:paraId="546A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D55767A">
            <w:pPr>
              <w:spacing w:line="360" w:lineRule="auto"/>
              <w:jc w:val="center"/>
              <w:rPr>
                <w:rFonts w:ascii="宋体" w:hAnsi="宋体"/>
                <w:sz w:val="22"/>
                <w:szCs w:val="22"/>
              </w:rPr>
            </w:pPr>
            <w:r>
              <w:rPr>
                <w:rFonts w:hint="eastAsia" w:ascii="宋体" w:hAnsi="宋体"/>
                <w:sz w:val="22"/>
                <w:szCs w:val="22"/>
              </w:rPr>
              <w:t>序号</w:t>
            </w:r>
          </w:p>
        </w:tc>
        <w:tc>
          <w:tcPr>
            <w:tcW w:w="1125" w:type="dxa"/>
            <w:noWrap w:val="0"/>
            <w:vAlign w:val="center"/>
          </w:tcPr>
          <w:p w14:paraId="287994D8">
            <w:pPr>
              <w:spacing w:line="360" w:lineRule="auto"/>
              <w:jc w:val="center"/>
              <w:rPr>
                <w:rFonts w:hint="eastAsia" w:ascii="宋体" w:hAnsi="宋体"/>
                <w:sz w:val="22"/>
                <w:szCs w:val="22"/>
              </w:rPr>
            </w:pPr>
            <w:r>
              <w:rPr>
                <w:rFonts w:hint="eastAsia" w:ascii="宋体" w:hAnsi="宋体"/>
                <w:sz w:val="22"/>
                <w:szCs w:val="22"/>
              </w:rPr>
              <w:t>产品名称</w:t>
            </w:r>
          </w:p>
        </w:tc>
        <w:tc>
          <w:tcPr>
            <w:tcW w:w="1887" w:type="dxa"/>
            <w:noWrap w:val="0"/>
            <w:vAlign w:val="center"/>
          </w:tcPr>
          <w:p w14:paraId="01942CCC">
            <w:pPr>
              <w:spacing w:line="360" w:lineRule="auto"/>
              <w:jc w:val="center"/>
              <w:rPr>
                <w:rFonts w:hint="eastAsia" w:ascii="宋体" w:hAnsi="宋体"/>
                <w:sz w:val="22"/>
                <w:szCs w:val="22"/>
              </w:rPr>
            </w:pPr>
            <w:r>
              <w:rPr>
                <w:rFonts w:hint="eastAsia" w:ascii="宋体" w:hAnsi="宋体"/>
                <w:sz w:val="22"/>
                <w:szCs w:val="22"/>
              </w:rPr>
              <w:t>规格</w:t>
            </w:r>
          </w:p>
        </w:tc>
        <w:tc>
          <w:tcPr>
            <w:tcW w:w="948" w:type="dxa"/>
            <w:noWrap w:val="0"/>
            <w:vAlign w:val="center"/>
          </w:tcPr>
          <w:p w14:paraId="5FE70542">
            <w:pPr>
              <w:spacing w:line="360" w:lineRule="auto"/>
              <w:jc w:val="center"/>
              <w:rPr>
                <w:rFonts w:ascii="宋体" w:hAnsi="宋体"/>
                <w:sz w:val="22"/>
                <w:szCs w:val="22"/>
              </w:rPr>
            </w:pPr>
            <w:r>
              <w:rPr>
                <w:rFonts w:hint="eastAsia" w:ascii="宋体" w:hAnsi="宋体"/>
                <w:sz w:val="22"/>
                <w:szCs w:val="22"/>
              </w:rPr>
              <w:t>单位</w:t>
            </w:r>
          </w:p>
        </w:tc>
        <w:tc>
          <w:tcPr>
            <w:tcW w:w="1125" w:type="dxa"/>
            <w:noWrap w:val="0"/>
            <w:vAlign w:val="center"/>
          </w:tcPr>
          <w:p w14:paraId="1CEBFA40">
            <w:pPr>
              <w:spacing w:line="360" w:lineRule="auto"/>
              <w:jc w:val="center"/>
              <w:rPr>
                <w:rFonts w:hint="eastAsia" w:ascii="宋体" w:hAnsi="宋体"/>
                <w:sz w:val="22"/>
                <w:szCs w:val="22"/>
              </w:rPr>
            </w:pPr>
            <w:r>
              <w:rPr>
                <w:rFonts w:hint="eastAsia" w:ascii="宋体" w:hAnsi="宋体"/>
                <w:sz w:val="22"/>
                <w:szCs w:val="22"/>
              </w:rPr>
              <w:t>数量</w:t>
            </w:r>
          </w:p>
        </w:tc>
        <w:tc>
          <w:tcPr>
            <w:tcW w:w="1590" w:type="dxa"/>
            <w:noWrap w:val="0"/>
            <w:vAlign w:val="center"/>
          </w:tcPr>
          <w:p w14:paraId="0FED5636">
            <w:pPr>
              <w:spacing w:line="360" w:lineRule="auto"/>
              <w:jc w:val="center"/>
              <w:rPr>
                <w:rFonts w:hint="eastAsia" w:ascii="宋体" w:hAnsi="宋体"/>
                <w:sz w:val="22"/>
                <w:szCs w:val="22"/>
              </w:rPr>
            </w:pPr>
            <w:r>
              <w:rPr>
                <w:rFonts w:hint="eastAsia" w:ascii="宋体" w:hAnsi="宋体" w:cs="宋体"/>
                <w:sz w:val="24"/>
                <w:szCs w:val="24"/>
              </w:rPr>
              <w:t>单价（含税）</w:t>
            </w:r>
          </w:p>
        </w:tc>
        <w:tc>
          <w:tcPr>
            <w:tcW w:w="1560" w:type="dxa"/>
            <w:noWrap w:val="0"/>
            <w:vAlign w:val="center"/>
          </w:tcPr>
          <w:p w14:paraId="529078DE">
            <w:pPr>
              <w:spacing w:line="360" w:lineRule="auto"/>
              <w:jc w:val="center"/>
              <w:rPr>
                <w:rFonts w:hint="eastAsia" w:ascii="宋体" w:hAnsi="宋体"/>
                <w:sz w:val="22"/>
                <w:szCs w:val="22"/>
              </w:rPr>
            </w:pPr>
            <w:r>
              <w:rPr>
                <w:rFonts w:hint="eastAsia" w:ascii="宋体" w:hAnsi="宋体"/>
                <w:sz w:val="22"/>
                <w:szCs w:val="22"/>
              </w:rPr>
              <w:t>金额（元）</w:t>
            </w:r>
          </w:p>
        </w:tc>
      </w:tr>
      <w:tr w14:paraId="213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7F632268">
            <w:pPr>
              <w:spacing w:line="360" w:lineRule="auto"/>
              <w:jc w:val="center"/>
              <w:rPr>
                <w:rFonts w:ascii="宋体" w:hAnsi="宋体"/>
                <w:sz w:val="22"/>
                <w:szCs w:val="22"/>
              </w:rPr>
            </w:pPr>
            <w:r>
              <w:rPr>
                <w:rFonts w:hint="eastAsia" w:ascii="宋体" w:hAnsi="宋体"/>
                <w:sz w:val="22"/>
                <w:szCs w:val="22"/>
              </w:rPr>
              <w:t>1</w:t>
            </w:r>
          </w:p>
        </w:tc>
        <w:tc>
          <w:tcPr>
            <w:tcW w:w="1125" w:type="dxa"/>
            <w:shd w:val="clear"/>
            <w:noWrap w:val="0"/>
            <w:vAlign w:val="center"/>
          </w:tcPr>
          <w:p w14:paraId="34AEAF12">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吡呀呋虫胺</w:t>
            </w:r>
          </w:p>
        </w:tc>
        <w:tc>
          <w:tcPr>
            <w:tcW w:w="1887" w:type="dxa"/>
            <w:shd w:val="clear"/>
            <w:noWrap w:val="0"/>
            <w:vAlign w:val="center"/>
          </w:tcPr>
          <w:p w14:paraId="6DDACAAD">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含量60%，200g/瓶</w:t>
            </w:r>
          </w:p>
        </w:tc>
        <w:tc>
          <w:tcPr>
            <w:tcW w:w="948" w:type="dxa"/>
            <w:shd w:val="clear"/>
            <w:noWrap w:val="0"/>
            <w:vAlign w:val="center"/>
          </w:tcPr>
          <w:p w14:paraId="053DD903">
            <w:pPr>
              <w:keepNext w:val="0"/>
              <w:keepLines w:val="0"/>
              <w:widowControl/>
              <w:suppressLineNumbers w:val="0"/>
              <w:spacing w:before="100" w:beforeAutospacing="1" w:after="100" w:afterAutospacing="1" w:line="345" w:lineRule="atLeast"/>
              <w:ind w:left="0" w:leftChars="0" w:right="0" w:rightChars="0"/>
              <w:jc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瓶</w:t>
            </w:r>
          </w:p>
        </w:tc>
        <w:tc>
          <w:tcPr>
            <w:tcW w:w="1125" w:type="dxa"/>
            <w:shd w:val="clear"/>
            <w:noWrap w:val="0"/>
            <w:vAlign w:val="center"/>
          </w:tcPr>
          <w:p w14:paraId="6719CCF9">
            <w:pPr>
              <w:keepNext w:val="0"/>
              <w:keepLines w:val="0"/>
              <w:widowControl/>
              <w:suppressLineNumbers w:val="0"/>
              <w:spacing w:before="100" w:beforeAutospacing="1" w:after="100" w:afterAutospacing="1" w:line="345" w:lineRule="atLeast"/>
              <w:ind w:left="0" w:leftChars="0" w:right="0" w:rightChars="0"/>
              <w:jc w:val="center"/>
              <w:rPr>
                <w:rFonts w:hint="default" w:ascii="宋体" w:hAnsi="宋体" w:eastAsia="宋体" w:cs="宋体"/>
                <w:color w:val="333333"/>
                <w:kern w:val="0"/>
                <w:sz w:val="21"/>
                <w:szCs w:val="21"/>
                <w:highlight w:val="none"/>
                <w:lang w:val="en-US" w:eastAsia="zh-CN" w:bidi="ar"/>
              </w:rPr>
            </w:pPr>
          </w:p>
        </w:tc>
        <w:tc>
          <w:tcPr>
            <w:tcW w:w="1590" w:type="dxa"/>
            <w:noWrap w:val="0"/>
            <w:vAlign w:val="center"/>
          </w:tcPr>
          <w:p w14:paraId="069132DC">
            <w:pPr>
              <w:spacing w:line="360" w:lineRule="auto"/>
              <w:jc w:val="center"/>
              <w:rPr>
                <w:rFonts w:hint="default" w:ascii="宋体" w:hAnsi="宋体" w:eastAsia="宋体"/>
                <w:sz w:val="22"/>
                <w:szCs w:val="22"/>
                <w:lang w:val="en-US" w:eastAsia="zh-CN"/>
              </w:rPr>
            </w:pPr>
          </w:p>
        </w:tc>
        <w:tc>
          <w:tcPr>
            <w:tcW w:w="1560" w:type="dxa"/>
            <w:noWrap w:val="0"/>
            <w:vAlign w:val="center"/>
          </w:tcPr>
          <w:p w14:paraId="412CF6EE">
            <w:pPr>
              <w:spacing w:line="360" w:lineRule="auto"/>
              <w:jc w:val="center"/>
              <w:rPr>
                <w:rFonts w:hint="default" w:ascii="宋体" w:hAnsi="宋体" w:eastAsia="宋体"/>
                <w:sz w:val="22"/>
                <w:szCs w:val="22"/>
                <w:lang w:val="en-US" w:eastAsia="zh-CN"/>
              </w:rPr>
            </w:pPr>
          </w:p>
        </w:tc>
      </w:tr>
      <w:tr w14:paraId="16F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4F465E06">
            <w:pPr>
              <w:spacing w:line="360" w:lineRule="auto"/>
              <w:jc w:val="center"/>
              <w:rPr>
                <w:rFonts w:hint="eastAsia" w:ascii="宋体" w:hAnsi="宋体" w:eastAsia="宋体"/>
                <w:sz w:val="22"/>
                <w:szCs w:val="22"/>
                <w:lang w:val="en-US" w:eastAsia="zh-CN"/>
              </w:rPr>
            </w:pPr>
            <w:r>
              <w:rPr>
                <w:rFonts w:hint="eastAsia" w:ascii="宋体" w:hAnsi="宋体"/>
                <w:sz w:val="22"/>
                <w:szCs w:val="22"/>
                <w:lang w:val="en-US" w:eastAsia="zh-CN"/>
              </w:rPr>
              <w:t>2</w:t>
            </w:r>
          </w:p>
        </w:tc>
        <w:tc>
          <w:tcPr>
            <w:tcW w:w="1125" w:type="dxa"/>
            <w:shd w:val="clear"/>
            <w:noWrap w:val="0"/>
            <w:vAlign w:val="center"/>
          </w:tcPr>
          <w:p w14:paraId="64AB8D5F">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飞防助剂</w:t>
            </w:r>
          </w:p>
        </w:tc>
        <w:tc>
          <w:tcPr>
            <w:tcW w:w="1887" w:type="dxa"/>
            <w:shd w:val="clear"/>
            <w:noWrap w:val="0"/>
            <w:vAlign w:val="center"/>
          </w:tcPr>
          <w:p w14:paraId="587B639A">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500g/瓶</w:t>
            </w:r>
          </w:p>
        </w:tc>
        <w:tc>
          <w:tcPr>
            <w:tcW w:w="948" w:type="dxa"/>
            <w:shd w:val="clear"/>
            <w:noWrap w:val="0"/>
            <w:vAlign w:val="center"/>
          </w:tcPr>
          <w:p w14:paraId="459640DC">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瓶</w:t>
            </w:r>
          </w:p>
        </w:tc>
        <w:tc>
          <w:tcPr>
            <w:tcW w:w="1125" w:type="dxa"/>
            <w:shd w:val="clear"/>
            <w:noWrap w:val="0"/>
            <w:vAlign w:val="center"/>
          </w:tcPr>
          <w:p w14:paraId="103C46E1">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p>
        </w:tc>
        <w:tc>
          <w:tcPr>
            <w:tcW w:w="1590" w:type="dxa"/>
            <w:noWrap w:val="0"/>
            <w:vAlign w:val="center"/>
          </w:tcPr>
          <w:p w14:paraId="76B3E48F">
            <w:pPr>
              <w:spacing w:line="360" w:lineRule="auto"/>
              <w:jc w:val="center"/>
              <w:rPr>
                <w:rFonts w:hint="eastAsia" w:ascii="宋体" w:hAnsi="宋体"/>
                <w:sz w:val="22"/>
                <w:szCs w:val="22"/>
                <w:lang w:val="en-US" w:eastAsia="zh-CN"/>
              </w:rPr>
            </w:pPr>
          </w:p>
        </w:tc>
        <w:tc>
          <w:tcPr>
            <w:tcW w:w="1560" w:type="dxa"/>
            <w:noWrap w:val="0"/>
            <w:vAlign w:val="center"/>
          </w:tcPr>
          <w:p w14:paraId="1FAD8EB2">
            <w:pPr>
              <w:spacing w:line="360" w:lineRule="auto"/>
              <w:jc w:val="center"/>
              <w:rPr>
                <w:rFonts w:hint="eastAsia" w:ascii="宋体" w:hAnsi="宋体"/>
                <w:sz w:val="22"/>
                <w:szCs w:val="22"/>
                <w:lang w:val="en-US" w:eastAsia="zh-CN"/>
              </w:rPr>
            </w:pPr>
          </w:p>
        </w:tc>
      </w:tr>
      <w:tr w14:paraId="6B07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0EB0F9DC">
            <w:pPr>
              <w:spacing w:line="360" w:lineRule="auto"/>
              <w:jc w:val="center"/>
              <w:rPr>
                <w:rFonts w:hint="default" w:ascii="宋体" w:hAnsi="宋体" w:eastAsia="宋体"/>
                <w:sz w:val="22"/>
                <w:szCs w:val="22"/>
                <w:lang w:val="en-US" w:eastAsia="zh-CN"/>
              </w:rPr>
            </w:pPr>
            <w:r>
              <w:rPr>
                <w:rFonts w:hint="eastAsia" w:ascii="宋体" w:hAnsi="宋体"/>
                <w:sz w:val="22"/>
                <w:szCs w:val="22"/>
                <w:lang w:val="en-US" w:eastAsia="zh-CN"/>
              </w:rPr>
              <w:t>3</w:t>
            </w:r>
          </w:p>
        </w:tc>
        <w:tc>
          <w:tcPr>
            <w:tcW w:w="1125" w:type="dxa"/>
            <w:shd w:val="clear"/>
            <w:noWrap w:val="0"/>
            <w:vAlign w:val="center"/>
          </w:tcPr>
          <w:p w14:paraId="4AACCD68">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苄氨烷醇</w:t>
            </w:r>
          </w:p>
        </w:tc>
        <w:tc>
          <w:tcPr>
            <w:tcW w:w="1887" w:type="dxa"/>
            <w:shd w:val="clear"/>
            <w:noWrap w:val="0"/>
            <w:vAlign w:val="center"/>
          </w:tcPr>
          <w:p w14:paraId="3BBA03E2">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含量2%，500ml/瓶</w:t>
            </w:r>
          </w:p>
        </w:tc>
        <w:tc>
          <w:tcPr>
            <w:tcW w:w="948" w:type="dxa"/>
            <w:shd w:val="clear"/>
            <w:noWrap w:val="0"/>
            <w:vAlign w:val="center"/>
          </w:tcPr>
          <w:p w14:paraId="76DAA671">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瓶</w:t>
            </w:r>
          </w:p>
        </w:tc>
        <w:tc>
          <w:tcPr>
            <w:tcW w:w="1125" w:type="dxa"/>
            <w:shd w:val="clear"/>
            <w:noWrap w:val="0"/>
            <w:vAlign w:val="center"/>
          </w:tcPr>
          <w:p w14:paraId="1A036B7A">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p>
        </w:tc>
        <w:tc>
          <w:tcPr>
            <w:tcW w:w="1590" w:type="dxa"/>
            <w:noWrap w:val="0"/>
            <w:vAlign w:val="center"/>
          </w:tcPr>
          <w:p w14:paraId="631EB1B6">
            <w:pPr>
              <w:spacing w:line="360" w:lineRule="auto"/>
              <w:jc w:val="center"/>
              <w:rPr>
                <w:rFonts w:hint="eastAsia" w:ascii="宋体" w:hAnsi="宋体"/>
                <w:sz w:val="22"/>
                <w:szCs w:val="22"/>
                <w:lang w:val="en-US" w:eastAsia="zh-CN"/>
              </w:rPr>
            </w:pPr>
          </w:p>
        </w:tc>
        <w:tc>
          <w:tcPr>
            <w:tcW w:w="1560" w:type="dxa"/>
            <w:noWrap w:val="0"/>
            <w:vAlign w:val="center"/>
          </w:tcPr>
          <w:p w14:paraId="39083216">
            <w:pPr>
              <w:spacing w:line="360" w:lineRule="auto"/>
              <w:jc w:val="center"/>
              <w:rPr>
                <w:rFonts w:hint="eastAsia" w:ascii="宋体" w:hAnsi="宋体"/>
                <w:sz w:val="22"/>
                <w:szCs w:val="22"/>
                <w:lang w:val="en-US" w:eastAsia="zh-CN"/>
              </w:rPr>
            </w:pPr>
          </w:p>
        </w:tc>
      </w:tr>
      <w:tr w14:paraId="7CAD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798BDA13">
            <w:pPr>
              <w:spacing w:line="360" w:lineRule="auto"/>
              <w:jc w:val="center"/>
              <w:rPr>
                <w:rFonts w:hint="eastAsia" w:ascii="宋体" w:hAnsi="宋体" w:eastAsia="宋体"/>
                <w:sz w:val="22"/>
                <w:szCs w:val="22"/>
                <w:lang w:val="en-US" w:eastAsia="zh-CN"/>
              </w:rPr>
            </w:pPr>
            <w:r>
              <w:rPr>
                <w:rFonts w:hint="eastAsia" w:ascii="宋体" w:hAnsi="宋体"/>
                <w:sz w:val="22"/>
                <w:szCs w:val="22"/>
                <w:lang w:val="en-US" w:eastAsia="zh-CN"/>
              </w:rPr>
              <w:t>4</w:t>
            </w:r>
          </w:p>
        </w:tc>
        <w:tc>
          <w:tcPr>
            <w:tcW w:w="1125" w:type="dxa"/>
            <w:shd w:val="clear"/>
            <w:noWrap w:val="0"/>
            <w:vAlign w:val="center"/>
          </w:tcPr>
          <w:p w14:paraId="0EBBF7CC">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丙硫菌唑戊唑醇</w:t>
            </w:r>
          </w:p>
        </w:tc>
        <w:tc>
          <w:tcPr>
            <w:tcW w:w="1887" w:type="dxa"/>
            <w:shd w:val="clear"/>
            <w:noWrap w:val="0"/>
            <w:vAlign w:val="center"/>
          </w:tcPr>
          <w:p w14:paraId="1BB69EE4">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含量40%，500克/瓶</w:t>
            </w:r>
          </w:p>
        </w:tc>
        <w:tc>
          <w:tcPr>
            <w:tcW w:w="948" w:type="dxa"/>
            <w:shd w:val="clear"/>
            <w:noWrap w:val="0"/>
            <w:vAlign w:val="center"/>
          </w:tcPr>
          <w:p w14:paraId="36DB072A">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瓶</w:t>
            </w:r>
          </w:p>
        </w:tc>
        <w:tc>
          <w:tcPr>
            <w:tcW w:w="1125" w:type="dxa"/>
            <w:shd w:val="clear"/>
            <w:noWrap w:val="0"/>
            <w:vAlign w:val="center"/>
          </w:tcPr>
          <w:p w14:paraId="0F3ADFDE">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p>
        </w:tc>
        <w:tc>
          <w:tcPr>
            <w:tcW w:w="1590" w:type="dxa"/>
            <w:noWrap w:val="0"/>
            <w:vAlign w:val="center"/>
          </w:tcPr>
          <w:p w14:paraId="1F0BF4B9">
            <w:pPr>
              <w:spacing w:line="360" w:lineRule="auto"/>
              <w:jc w:val="center"/>
              <w:rPr>
                <w:rFonts w:hint="eastAsia" w:ascii="宋体" w:hAnsi="宋体"/>
                <w:sz w:val="22"/>
                <w:szCs w:val="22"/>
                <w:lang w:val="en-US" w:eastAsia="zh-CN"/>
              </w:rPr>
            </w:pPr>
          </w:p>
        </w:tc>
        <w:tc>
          <w:tcPr>
            <w:tcW w:w="1560" w:type="dxa"/>
            <w:noWrap w:val="0"/>
            <w:vAlign w:val="center"/>
          </w:tcPr>
          <w:p w14:paraId="0613840C">
            <w:pPr>
              <w:spacing w:line="360" w:lineRule="auto"/>
              <w:jc w:val="center"/>
              <w:rPr>
                <w:rFonts w:hint="eastAsia" w:ascii="宋体" w:hAnsi="宋体"/>
                <w:sz w:val="22"/>
                <w:szCs w:val="22"/>
                <w:lang w:val="en-US" w:eastAsia="zh-CN"/>
              </w:rPr>
            </w:pPr>
            <w:bookmarkStart w:id="0" w:name="_GoBack"/>
            <w:bookmarkEnd w:id="0"/>
          </w:p>
        </w:tc>
      </w:tr>
      <w:tr w14:paraId="50B6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0" w:type="dxa"/>
            <w:noWrap w:val="0"/>
            <w:vAlign w:val="center"/>
          </w:tcPr>
          <w:p w14:paraId="4D02A1FA">
            <w:pPr>
              <w:spacing w:line="360" w:lineRule="auto"/>
              <w:jc w:val="center"/>
              <w:rPr>
                <w:rFonts w:hint="eastAsia" w:ascii="宋体" w:hAnsi="宋体" w:eastAsia="宋体"/>
                <w:sz w:val="22"/>
                <w:szCs w:val="22"/>
                <w:lang w:val="en-US" w:eastAsia="zh-CN"/>
              </w:rPr>
            </w:pPr>
            <w:r>
              <w:rPr>
                <w:rFonts w:hint="eastAsia" w:ascii="宋体" w:hAnsi="宋体"/>
                <w:sz w:val="22"/>
                <w:szCs w:val="22"/>
                <w:lang w:val="en-US" w:eastAsia="zh-CN"/>
              </w:rPr>
              <w:t>5</w:t>
            </w:r>
          </w:p>
        </w:tc>
        <w:tc>
          <w:tcPr>
            <w:tcW w:w="1125" w:type="dxa"/>
            <w:shd w:val="clear"/>
            <w:noWrap w:val="0"/>
            <w:vAlign w:val="center"/>
          </w:tcPr>
          <w:p w14:paraId="1A4BD30E">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14-羟基芸苔素</w:t>
            </w:r>
          </w:p>
        </w:tc>
        <w:tc>
          <w:tcPr>
            <w:tcW w:w="1887" w:type="dxa"/>
            <w:shd w:val="clear"/>
            <w:noWrap w:val="0"/>
            <w:vAlign w:val="center"/>
          </w:tcPr>
          <w:p w14:paraId="205A5E39">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含量0.01%，500ml/瓶</w:t>
            </w:r>
          </w:p>
        </w:tc>
        <w:tc>
          <w:tcPr>
            <w:tcW w:w="948" w:type="dxa"/>
            <w:shd w:val="clear"/>
            <w:noWrap w:val="0"/>
            <w:vAlign w:val="center"/>
          </w:tcPr>
          <w:p w14:paraId="29E8B1F1">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瓶</w:t>
            </w:r>
          </w:p>
        </w:tc>
        <w:tc>
          <w:tcPr>
            <w:tcW w:w="1125" w:type="dxa"/>
            <w:shd w:val="clear"/>
            <w:noWrap w:val="0"/>
            <w:vAlign w:val="center"/>
          </w:tcPr>
          <w:p w14:paraId="0ED0722F">
            <w:pPr>
              <w:keepNext w:val="0"/>
              <w:keepLines w:val="0"/>
              <w:widowControl/>
              <w:suppressLineNumbers w:val="0"/>
              <w:spacing w:before="100" w:beforeAutospacing="1" w:after="100" w:afterAutospacing="1" w:line="345" w:lineRule="atLeast"/>
              <w:ind w:left="0" w:leftChars="0" w:right="0" w:rightChars="0"/>
              <w:jc w:val="center"/>
              <w:rPr>
                <w:rFonts w:hint="eastAsia" w:ascii="宋体" w:hAnsi="宋体" w:eastAsia="宋体" w:cs="宋体"/>
                <w:color w:val="333333"/>
                <w:kern w:val="0"/>
                <w:sz w:val="21"/>
                <w:szCs w:val="21"/>
                <w:highlight w:val="none"/>
                <w:lang w:val="en-US" w:eastAsia="zh-CN" w:bidi="ar"/>
              </w:rPr>
            </w:pPr>
          </w:p>
        </w:tc>
        <w:tc>
          <w:tcPr>
            <w:tcW w:w="1590" w:type="dxa"/>
            <w:noWrap w:val="0"/>
            <w:vAlign w:val="center"/>
          </w:tcPr>
          <w:p w14:paraId="0A79637C">
            <w:pPr>
              <w:spacing w:line="360" w:lineRule="auto"/>
              <w:jc w:val="center"/>
              <w:rPr>
                <w:rFonts w:hint="eastAsia" w:ascii="宋体" w:hAnsi="宋体"/>
                <w:sz w:val="22"/>
                <w:szCs w:val="22"/>
                <w:lang w:val="en-US" w:eastAsia="zh-CN"/>
              </w:rPr>
            </w:pPr>
          </w:p>
        </w:tc>
        <w:tc>
          <w:tcPr>
            <w:tcW w:w="1560" w:type="dxa"/>
            <w:noWrap w:val="0"/>
            <w:vAlign w:val="center"/>
          </w:tcPr>
          <w:p w14:paraId="6A25ADAC">
            <w:pPr>
              <w:spacing w:line="360" w:lineRule="auto"/>
              <w:jc w:val="center"/>
              <w:rPr>
                <w:rFonts w:hint="eastAsia" w:ascii="宋体" w:hAnsi="宋体"/>
                <w:sz w:val="22"/>
                <w:szCs w:val="22"/>
                <w:lang w:val="en-US" w:eastAsia="zh-CN"/>
              </w:rPr>
            </w:pPr>
          </w:p>
        </w:tc>
      </w:tr>
      <w:tr w14:paraId="43FC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845" w:type="dxa"/>
            <w:gridSpan w:val="2"/>
            <w:noWrap w:val="0"/>
            <w:vAlign w:val="center"/>
          </w:tcPr>
          <w:p w14:paraId="18B338E8">
            <w:pPr>
              <w:spacing w:line="360" w:lineRule="auto"/>
              <w:jc w:val="center"/>
              <w:rPr>
                <w:rFonts w:hint="eastAsia" w:ascii="宋体" w:hAnsi="宋体"/>
                <w:sz w:val="22"/>
                <w:szCs w:val="22"/>
              </w:rPr>
            </w:pPr>
            <w:r>
              <w:rPr>
                <w:rFonts w:hint="eastAsia" w:ascii="宋体" w:hAnsi="宋体"/>
                <w:sz w:val="22"/>
                <w:szCs w:val="22"/>
              </w:rPr>
              <w:t>合计金额：</w:t>
            </w:r>
          </w:p>
        </w:tc>
        <w:tc>
          <w:tcPr>
            <w:tcW w:w="7110" w:type="dxa"/>
            <w:gridSpan w:val="5"/>
            <w:noWrap w:val="0"/>
            <w:vAlign w:val="center"/>
          </w:tcPr>
          <w:p w14:paraId="40D5DFE6">
            <w:pPr>
              <w:spacing w:line="360" w:lineRule="auto"/>
              <w:jc w:val="both"/>
              <w:rPr>
                <w:rFonts w:hint="eastAsia" w:ascii="宋体" w:hAnsi="宋体"/>
                <w:sz w:val="22"/>
                <w:szCs w:val="22"/>
              </w:rPr>
            </w:pPr>
            <w:r>
              <w:rPr>
                <w:rFonts w:hint="eastAsia" w:ascii="宋体" w:hAnsi="宋体" w:cs="宋体"/>
                <w:sz w:val="24"/>
                <w:szCs w:val="24"/>
                <w:u w:val="single"/>
              </w:rPr>
              <w:t>人民币</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元（大写：</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元整）</w:t>
            </w:r>
          </w:p>
        </w:tc>
      </w:tr>
    </w:tbl>
    <w:p w14:paraId="2DB014D1">
      <w:pPr>
        <w:spacing w:line="360" w:lineRule="auto"/>
        <w:ind w:firstLine="480" w:firstLineChars="200"/>
        <w:rPr>
          <w:rFonts w:hint="eastAsia" w:ascii="宋体" w:hAnsi="宋体"/>
          <w:sz w:val="24"/>
        </w:rPr>
      </w:pPr>
      <w:r>
        <w:rPr>
          <w:rFonts w:hint="eastAsia" w:ascii="宋体" w:hAnsi="宋体"/>
          <w:sz w:val="24"/>
        </w:rPr>
        <w:t>说明：数量以</w:t>
      </w:r>
      <w:r>
        <w:rPr>
          <w:rFonts w:hint="eastAsia" w:ascii="宋体" w:hAnsi="宋体"/>
          <w:sz w:val="24"/>
          <w:lang w:eastAsia="zh-CN"/>
        </w:rPr>
        <w:t>实际使用需求</w:t>
      </w:r>
      <w:r>
        <w:rPr>
          <w:rFonts w:hint="eastAsia" w:ascii="宋体" w:hAnsi="宋体"/>
          <w:sz w:val="24"/>
        </w:rPr>
        <w:t>数量为准。</w:t>
      </w:r>
    </w:p>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b/>
          <w:bCs/>
          <w:color w:val="000000"/>
          <w:kern w:val="0"/>
          <w:sz w:val="28"/>
          <w:szCs w:val="28"/>
          <w:highlight w:val="none"/>
          <w:shd w:val="clear" w:color="auto" w:fill="FFFFFF"/>
          <w:lang w:val="en-US" w:eastAsia="zh-CN" w:bidi="ar-SA"/>
        </w:rPr>
        <w:t>3.效期内接受退货：针对农药库存产品，若剩余有效期在三个月及以上，乙方需接受甲方提出的退货申请，并按流程办理相关退货手续。</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b/>
          <w:bCs/>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5F4C53B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sectPr>
      <w:foot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1DD20">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2E7729E">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EDOSk0QEAAKIDAAAOAAAAAAAAAAEAIAAAAB8BAABk&#10;cnMvZTJvRG9jLnhtbFBLBQYAAAAABgAGAFkBAABiBQAAAAA=&#10;">
              <v:fill on="f" focussize="0,0"/>
              <v:stroke on="f" weight="0.5pt"/>
              <v:imagedata o:title=""/>
              <o:lock v:ext="edit" aspectratio="f"/>
              <v:textbox inset="0mm,0mm,0mm,0mm" style="mso-fit-shape-to-text:t;">
                <w:txbxContent>
                  <w:p w14:paraId="52E7729E">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412D5474"/>
    <w:rsid w:val="0F9D3F91"/>
    <w:rsid w:val="132B1CF2"/>
    <w:rsid w:val="28A356C2"/>
    <w:rsid w:val="2C445C59"/>
    <w:rsid w:val="2D893AC6"/>
    <w:rsid w:val="412D5474"/>
    <w:rsid w:val="43FF03D9"/>
    <w:rsid w:val="4958348A"/>
    <w:rsid w:val="57605664"/>
    <w:rsid w:val="5BF3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2548</Words>
  <Characters>2615</Characters>
  <Lines>0</Lines>
  <Paragraphs>0</Paragraphs>
  <TotalTime>0</TotalTime>
  <ScaleCrop>false</ScaleCrop>
  <LinksUpToDate>false</LinksUpToDate>
  <CharactersWithSpaces>2886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2023-04-21T01:53:00Z</dcterms:created>
  <dc:creator>番茄土豆泥 。</dc:creator>
  <cp:lastModifiedBy>蒋宏</cp:lastModifiedBy>
  <cp:lastPrinted>2023-05-10T01:39:00Z</cp:lastPrinted>
  <dcterms:modified xsi:type="dcterms:W3CDTF">2026-03-23T08:59:25Z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9CA0A008F0FA4A23B34E746E485ACF4B_11</vt:lpwstr>
  </property>
  <property fmtid="{D5CDD505-2E9C-101B-9397-08002B2CF9AE}" pid="4" name="KSOTemplateDocerSaveRecord">
    <vt:lpwstr>eyJoZGlkIjoiOWJlMWQ1MGJlNDBkYWVhZDMyYzQ4YTQwNjkzMzM3OGQiLCJ1c2VySWQiOiIxNzE3NzgyNTUzIn0=</vt:lpwstr>
  </property>
</Properties>
</file>