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7"/>
        <w:tblpPr w:leftFromText="180" w:rightFromText="180" w:vertAnchor="text" w:horzAnchor="page" w:tblpX="1514" w:tblpY="269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70"/>
        <w:gridCol w:w="1743"/>
        <w:gridCol w:w="858"/>
        <w:gridCol w:w="1056"/>
        <w:gridCol w:w="1173"/>
        <w:gridCol w:w="136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40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val="en-US" w:eastAsia="zh-CN"/>
              </w:rPr>
              <w:t>池塘尾水检测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检测地点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点位数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次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数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采样及测试费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频次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（次/点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淡水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个点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养殖池塘尾水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海水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个点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养殖池塘尾水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检测费用合计</w:t>
            </w:r>
          </w:p>
        </w:tc>
        <w:tc>
          <w:tcPr>
            <w:tcW w:w="406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人民币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  <w:t>¥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405" w:type="dxa"/>
            <w:gridSpan w:val="8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本次报价包含：报告编制费、人工费、车辆费、税费，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3120E41"/>
    <w:rsid w:val="257D01E8"/>
    <w:rsid w:val="32B11DC8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姜姝妍</cp:lastModifiedBy>
  <dcterms:modified xsi:type="dcterms:W3CDTF">2025-05-29T01:48:17Z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31E0B10D976843DC9DF5F524227B133B_11</vt:lpwstr>
  </property>
</Properties>
</file>